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57DA5" w14:textId="77777777" w:rsidR="009201FC" w:rsidRDefault="009201FC" w:rsidP="009201FC">
      <w:pPr>
        <w:spacing w:after="240" w:line="360" w:lineRule="auto"/>
        <w:jc w:val="center"/>
        <w:rPr>
          <w:rFonts w:ascii="Times New Roman" w:hAnsi="Times New Roman" w:cs="Times New Roman"/>
          <w:sz w:val="24"/>
          <w:szCs w:val="24"/>
        </w:rPr>
      </w:pPr>
      <w:r>
        <w:rPr>
          <w:rFonts w:ascii="Times New Roman" w:hAnsi="Times New Roman" w:cs="Times New Roman"/>
          <w:sz w:val="24"/>
          <w:szCs w:val="24"/>
        </w:rPr>
        <w:t>UZASADNIENIE</w:t>
      </w:r>
    </w:p>
    <w:p w14:paraId="642537F9" w14:textId="7637888A" w:rsidR="004D0491" w:rsidRPr="00732788" w:rsidRDefault="001D65D1" w:rsidP="004D0491">
      <w:pPr>
        <w:pStyle w:val="Akapitzlist"/>
        <w:widowControl w:val="0"/>
        <w:numPr>
          <w:ilvl w:val="0"/>
          <w:numId w:val="18"/>
        </w:numPr>
        <w:autoSpaceDE w:val="0"/>
        <w:autoSpaceDN w:val="0"/>
        <w:adjustRightInd w:val="0"/>
        <w:spacing w:after="0" w:line="360" w:lineRule="auto"/>
        <w:jc w:val="both"/>
        <w:rPr>
          <w:rFonts w:ascii="Times New Roman" w:hAnsi="Times New Roman" w:cs="Times New Roman"/>
          <w:b/>
          <w:bCs/>
          <w:sz w:val="24"/>
          <w:szCs w:val="24"/>
        </w:rPr>
      </w:pPr>
      <w:r w:rsidRPr="004D0491">
        <w:rPr>
          <w:rFonts w:ascii="Times New Roman" w:hAnsi="Times New Roman" w:cs="Times New Roman"/>
          <w:b/>
          <w:bCs/>
          <w:sz w:val="24"/>
          <w:szCs w:val="24"/>
        </w:rPr>
        <w:t>Potrzeba i cel wydania aktu prawnego</w:t>
      </w:r>
    </w:p>
    <w:p w14:paraId="03396011" w14:textId="198ABB0A" w:rsidR="001C4394" w:rsidRDefault="00922A76" w:rsidP="000717D7">
      <w:pPr>
        <w:spacing w:after="0" w:line="360" w:lineRule="auto"/>
        <w:jc w:val="both"/>
        <w:rPr>
          <w:rFonts w:ascii="Times New Roman" w:hAnsi="Times New Roman" w:cs="Times New Roman"/>
          <w:sz w:val="24"/>
          <w:szCs w:val="24"/>
        </w:rPr>
      </w:pPr>
      <w:r w:rsidRPr="00C56F23">
        <w:rPr>
          <w:rFonts w:ascii="Times New Roman" w:hAnsi="Times New Roman" w:cs="Times New Roman"/>
          <w:sz w:val="24"/>
          <w:szCs w:val="24"/>
        </w:rPr>
        <w:t>Obserwowany od kilku miesięcy wzrost cen energii elektrycznej</w:t>
      </w:r>
      <w:r w:rsidR="00A83580">
        <w:rPr>
          <w:rFonts w:ascii="Times New Roman" w:hAnsi="Times New Roman" w:cs="Times New Roman"/>
          <w:sz w:val="24"/>
          <w:szCs w:val="24"/>
        </w:rPr>
        <w:t>, a</w:t>
      </w:r>
      <w:r w:rsidRPr="00C56F23">
        <w:rPr>
          <w:rFonts w:ascii="Times New Roman" w:hAnsi="Times New Roman" w:cs="Times New Roman"/>
          <w:sz w:val="24"/>
          <w:szCs w:val="24"/>
        </w:rPr>
        <w:t xml:space="preserve"> w szczególności giełdowy wzrost cen energii elektrycznej w Polsce spowodowany jest nałożeniem się szeregu niesprzyjających okoliczności</w:t>
      </w:r>
      <w:r w:rsidR="00A83580">
        <w:rPr>
          <w:rFonts w:ascii="Times New Roman" w:hAnsi="Times New Roman" w:cs="Times New Roman"/>
          <w:sz w:val="24"/>
          <w:szCs w:val="24"/>
        </w:rPr>
        <w:t xml:space="preserve">, ale przede wszystkim </w:t>
      </w:r>
      <w:r w:rsidRPr="00C56F23">
        <w:rPr>
          <w:rFonts w:ascii="Times New Roman" w:hAnsi="Times New Roman" w:cs="Times New Roman"/>
          <w:sz w:val="24"/>
          <w:szCs w:val="24"/>
        </w:rPr>
        <w:t xml:space="preserve">inwazją </w:t>
      </w:r>
      <w:r w:rsidR="00A83580">
        <w:rPr>
          <w:rFonts w:ascii="Times New Roman" w:hAnsi="Times New Roman" w:cs="Times New Roman"/>
          <w:sz w:val="24"/>
          <w:szCs w:val="24"/>
        </w:rPr>
        <w:t xml:space="preserve">zbrojną </w:t>
      </w:r>
      <w:r w:rsidRPr="00C56F23">
        <w:rPr>
          <w:rFonts w:ascii="Times New Roman" w:hAnsi="Times New Roman" w:cs="Times New Roman"/>
          <w:sz w:val="24"/>
          <w:szCs w:val="24"/>
        </w:rPr>
        <w:t xml:space="preserve">Rosji na Ukrainę, która </w:t>
      </w:r>
      <w:r w:rsidR="00A83580">
        <w:rPr>
          <w:rFonts w:ascii="Times New Roman" w:hAnsi="Times New Roman" w:cs="Times New Roman"/>
          <w:sz w:val="24"/>
          <w:szCs w:val="24"/>
        </w:rPr>
        <w:t>zachwiała</w:t>
      </w:r>
      <w:r w:rsidRPr="00C56F23">
        <w:rPr>
          <w:rFonts w:ascii="Times New Roman" w:hAnsi="Times New Roman" w:cs="Times New Roman"/>
          <w:sz w:val="24"/>
          <w:szCs w:val="24"/>
        </w:rPr>
        <w:t xml:space="preserve"> bezpieczeństwem nie tylko </w:t>
      </w:r>
      <w:r w:rsidR="00A83580">
        <w:rPr>
          <w:rFonts w:ascii="Times New Roman" w:hAnsi="Times New Roman" w:cs="Times New Roman"/>
          <w:sz w:val="24"/>
          <w:szCs w:val="24"/>
        </w:rPr>
        <w:t xml:space="preserve">samej </w:t>
      </w:r>
      <w:r w:rsidRPr="00C56F23">
        <w:rPr>
          <w:rFonts w:ascii="Times New Roman" w:hAnsi="Times New Roman" w:cs="Times New Roman"/>
          <w:sz w:val="24"/>
          <w:szCs w:val="24"/>
        </w:rPr>
        <w:t>Ukrainy, ale i całej Europy. Kryzys energetyczny pogłębiła dodatkowo inflacja, która dotyka wszystkie państwa i</w:t>
      </w:r>
      <w:r w:rsidR="009B0070" w:rsidRPr="00C56F23">
        <w:rPr>
          <w:rFonts w:ascii="Times New Roman" w:hAnsi="Times New Roman" w:cs="Times New Roman"/>
          <w:sz w:val="24"/>
          <w:szCs w:val="24"/>
        </w:rPr>
        <w:t xml:space="preserve"> </w:t>
      </w:r>
      <w:r w:rsidRPr="00C56F23">
        <w:rPr>
          <w:rFonts w:ascii="Times New Roman" w:hAnsi="Times New Roman" w:cs="Times New Roman"/>
          <w:sz w:val="24"/>
          <w:szCs w:val="24"/>
        </w:rPr>
        <w:t>wpływa na ceny surowców energetycznych na rynkach</w:t>
      </w:r>
      <w:r w:rsidR="009B0070" w:rsidRPr="00C56F23">
        <w:rPr>
          <w:rFonts w:ascii="Times New Roman" w:hAnsi="Times New Roman" w:cs="Times New Roman"/>
          <w:sz w:val="24"/>
          <w:szCs w:val="24"/>
        </w:rPr>
        <w:t xml:space="preserve"> </w:t>
      </w:r>
      <w:r w:rsidRPr="00C56F23">
        <w:rPr>
          <w:rFonts w:ascii="Times New Roman" w:hAnsi="Times New Roman" w:cs="Times New Roman"/>
          <w:sz w:val="24"/>
          <w:szCs w:val="24"/>
        </w:rPr>
        <w:t xml:space="preserve">światowych. </w:t>
      </w:r>
      <w:r w:rsidR="00B64C96">
        <w:rPr>
          <w:rFonts w:ascii="Times New Roman" w:hAnsi="Times New Roman" w:cs="Times New Roman"/>
          <w:sz w:val="24"/>
          <w:szCs w:val="24"/>
        </w:rPr>
        <w:t>Ponadto, w</w:t>
      </w:r>
      <w:r w:rsidR="00A83580">
        <w:rPr>
          <w:rFonts w:ascii="Times New Roman" w:hAnsi="Times New Roman" w:cs="Times New Roman"/>
          <w:sz w:val="24"/>
          <w:szCs w:val="24"/>
        </w:rPr>
        <w:t>pływ na</w:t>
      </w:r>
      <w:r w:rsidR="009B0070" w:rsidRPr="00C56F23">
        <w:rPr>
          <w:rFonts w:ascii="Times New Roman" w:hAnsi="Times New Roman" w:cs="Times New Roman"/>
          <w:sz w:val="24"/>
          <w:szCs w:val="24"/>
        </w:rPr>
        <w:t xml:space="preserve"> wzrost cen energii elektrycznej w</w:t>
      </w:r>
      <w:r w:rsidRPr="00C56F23">
        <w:rPr>
          <w:rFonts w:ascii="Times New Roman" w:hAnsi="Times New Roman" w:cs="Times New Roman"/>
          <w:sz w:val="24"/>
          <w:szCs w:val="24"/>
        </w:rPr>
        <w:t xml:space="preserve"> szczególności mają działania </w:t>
      </w:r>
      <w:r w:rsidR="00A83580">
        <w:rPr>
          <w:rFonts w:ascii="Times New Roman" w:hAnsi="Times New Roman" w:cs="Times New Roman"/>
          <w:sz w:val="24"/>
          <w:szCs w:val="24"/>
        </w:rPr>
        <w:t xml:space="preserve">spółki </w:t>
      </w:r>
      <w:r w:rsidRPr="00C56F23">
        <w:rPr>
          <w:rFonts w:ascii="Times New Roman" w:hAnsi="Times New Roman" w:cs="Times New Roman"/>
          <w:sz w:val="24"/>
          <w:szCs w:val="24"/>
        </w:rPr>
        <w:t>Gazprom oraz spekulacje na rynku unijnych</w:t>
      </w:r>
      <w:r w:rsidR="0019079D">
        <w:rPr>
          <w:rFonts w:ascii="Times New Roman" w:hAnsi="Times New Roman" w:cs="Times New Roman"/>
          <w:sz w:val="24"/>
          <w:szCs w:val="24"/>
        </w:rPr>
        <w:t xml:space="preserve"> </w:t>
      </w:r>
      <w:r w:rsidRPr="00C56F23">
        <w:rPr>
          <w:rFonts w:ascii="Times New Roman" w:hAnsi="Times New Roman" w:cs="Times New Roman"/>
          <w:sz w:val="24"/>
          <w:szCs w:val="24"/>
        </w:rPr>
        <w:t>uprawnień do emisji CO2</w:t>
      </w:r>
      <w:r w:rsidR="00A83580">
        <w:rPr>
          <w:rFonts w:ascii="Times New Roman" w:hAnsi="Times New Roman" w:cs="Times New Roman"/>
          <w:sz w:val="24"/>
          <w:szCs w:val="24"/>
        </w:rPr>
        <w:t xml:space="preserve">. </w:t>
      </w:r>
      <w:r w:rsidR="00B64C96" w:rsidRPr="00B64C96">
        <w:rPr>
          <w:rFonts w:ascii="Times New Roman" w:hAnsi="Times New Roman" w:cs="Times New Roman"/>
          <w:sz w:val="24"/>
          <w:szCs w:val="24"/>
        </w:rPr>
        <w:t>Konieczność zaprzestania importu węgla, ropy i produktów ropopochodnych z Rosji oraz zapowiadany przez Komisję Europejską zamiar całkowitego uniezależnienia się od importu gazu z tego kraju wpłynie na wzrost hurtowych cen energii elektrycznej w najbliższym czasie</w:t>
      </w:r>
      <w:r w:rsidR="009B0070" w:rsidRPr="00C56F23">
        <w:rPr>
          <w:rFonts w:ascii="Times New Roman" w:hAnsi="Times New Roman" w:cs="Times New Roman"/>
          <w:sz w:val="24"/>
          <w:szCs w:val="24"/>
        </w:rPr>
        <w:t xml:space="preserve">. </w:t>
      </w:r>
    </w:p>
    <w:p w14:paraId="36DEDB15" w14:textId="1C5BA799" w:rsidR="000207E8" w:rsidRDefault="009B0070" w:rsidP="000717D7">
      <w:pPr>
        <w:spacing w:after="0" w:line="360" w:lineRule="auto"/>
        <w:jc w:val="both"/>
        <w:rPr>
          <w:rFonts w:ascii="Times New Roman" w:hAnsi="Times New Roman" w:cs="Times New Roman"/>
          <w:sz w:val="24"/>
          <w:szCs w:val="24"/>
        </w:rPr>
      </w:pPr>
      <w:r w:rsidRPr="00C56F23">
        <w:rPr>
          <w:rFonts w:ascii="Times New Roman" w:hAnsi="Times New Roman" w:cs="Times New Roman"/>
          <w:sz w:val="24"/>
          <w:szCs w:val="24"/>
        </w:rPr>
        <w:t>Sytuację związaną ze wzrostem cen energii elektrycznej najbardziej odczuwają odbiorcy</w:t>
      </w:r>
      <w:r w:rsidR="00172D5C" w:rsidRPr="00C56F23">
        <w:rPr>
          <w:rFonts w:ascii="Times New Roman" w:hAnsi="Times New Roman" w:cs="Times New Roman"/>
          <w:sz w:val="24"/>
          <w:szCs w:val="24"/>
        </w:rPr>
        <w:t xml:space="preserve"> energii elektrycznej</w:t>
      </w:r>
      <w:r w:rsidRPr="00C56F23">
        <w:rPr>
          <w:rFonts w:ascii="Times New Roman" w:hAnsi="Times New Roman" w:cs="Times New Roman"/>
          <w:sz w:val="24"/>
          <w:szCs w:val="24"/>
        </w:rPr>
        <w:t xml:space="preserve"> </w:t>
      </w:r>
      <w:r w:rsidR="00172D5C" w:rsidRPr="00C56F23">
        <w:rPr>
          <w:rFonts w:ascii="Times New Roman" w:hAnsi="Times New Roman" w:cs="Times New Roman"/>
          <w:sz w:val="24"/>
          <w:szCs w:val="24"/>
        </w:rPr>
        <w:t xml:space="preserve">w gospodarstwach domowych, którzy będą musieli mierzyć </w:t>
      </w:r>
      <w:r w:rsidR="00A83580">
        <w:rPr>
          <w:rFonts w:ascii="Times New Roman" w:hAnsi="Times New Roman" w:cs="Times New Roman"/>
          <w:sz w:val="24"/>
          <w:szCs w:val="24"/>
        </w:rPr>
        <w:t xml:space="preserve">się </w:t>
      </w:r>
      <w:r w:rsidR="00172D5C" w:rsidRPr="00C56F23">
        <w:rPr>
          <w:rFonts w:ascii="Times New Roman" w:hAnsi="Times New Roman" w:cs="Times New Roman"/>
          <w:sz w:val="24"/>
          <w:szCs w:val="24"/>
        </w:rPr>
        <w:t xml:space="preserve">z </w:t>
      </w:r>
      <w:r w:rsidR="00A83580">
        <w:rPr>
          <w:rFonts w:ascii="Times New Roman" w:hAnsi="Times New Roman" w:cs="Times New Roman"/>
          <w:sz w:val="24"/>
          <w:szCs w:val="24"/>
        </w:rPr>
        <w:t xml:space="preserve">koniecznością </w:t>
      </w:r>
      <w:r w:rsidR="00172D5C" w:rsidRPr="00C56F23">
        <w:rPr>
          <w:rFonts w:ascii="Times New Roman" w:hAnsi="Times New Roman" w:cs="Times New Roman"/>
          <w:sz w:val="24"/>
          <w:szCs w:val="24"/>
        </w:rPr>
        <w:t xml:space="preserve">zapłaty </w:t>
      </w:r>
      <w:r w:rsidR="00A83580">
        <w:rPr>
          <w:rFonts w:ascii="Times New Roman" w:hAnsi="Times New Roman" w:cs="Times New Roman"/>
          <w:sz w:val="24"/>
          <w:szCs w:val="24"/>
        </w:rPr>
        <w:t xml:space="preserve">wysokich </w:t>
      </w:r>
      <w:r w:rsidR="00172D5C" w:rsidRPr="00C56F23">
        <w:rPr>
          <w:rFonts w:ascii="Times New Roman" w:hAnsi="Times New Roman" w:cs="Times New Roman"/>
          <w:sz w:val="24"/>
          <w:szCs w:val="24"/>
        </w:rPr>
        <w:t xml:space="preserve">rachunków za energię. </w:t>
      </w:r>
      <w:bookmarkStart w:id="0" w:name="_Hlk116293888"/>
      <w:r w:rsidR="00172D5C" w:rsidRPr="00C56F23">
        <w:rPr>
          <w:rFonts w:ascii="Times New Roman" w:hAnsi="Times New Roman" w:cs="Times New Roman"/>
          <w:sz w:val="24"/>
          <w:szCs w:val="24"/>
        </w:rPr>
        <w:t>Należy zauważyć, że część odbiorców w gospodarstwach domowych to</w:t>
      </w:r>
      <w:r w:rsidR="00E141BA" w:rsidRPr="00C56F23">
        <w:rPr>
          <w:rFonts w:ascii="Times New Roman" w:hAnsi="Times New Roman" w:cs="Times New Roman"/>
          <w:sz w:val="24"/>
          <w:szCs w:val="24"/>
        </w:rPr>
        <w:t xml:space="preserve"> jednocześnie</w:t>
      </w:r>
      <w:r w:rsidR="00172D5C" w:rsidRPr="00C56F23">
        <w:rPr>
          <w:rFonts w:ascii="Times New Roman" w:hAnsi="Times New Roman" w:cs="Times New Roman"/>
          <w:sz w:val="24"/>
          <w:szCs w:val="24"/>
        </w:rPr>
        <w:t xml:space="preserve"> odbiorcy wrażliwi i ubodzy energetycznie</w:t>
      </w:r>
      <w:bookmarkEnd w:id="0"/>
      <w:r w:rsidR="00172D5C" w:rsidRPr="00C56F23">
        <w:rPr>
          <w:rFonts w:ascii="Times New Roman" w:hAnsi="Times New Roman" w:cs="Times New Roman"/>
          <w:sz w:val="24"/>
          <w:szCs w:val="24"/>
        </w:rPr>
        <w:t xml:space="preserve">, </w:t>
      </w:r>
      <w:bookmarkStart w:id="1" w:name="_Hlk116293975"/>
      <w:r w:rsidR="00172D5C" w:rsidRPr="00C56F23">
        <w:rPr>
          <w:rFonts w:ascii="Times New Roman" w:hAnsi="Times New Roman" w:cs="Times New Roman"/>
          <w:sz w:val="24"/>
          <w:szCs w:val="24"/>
        </w:rPr>
        <w:t>którzy</w:t>
      </w:r>
      <w:r w:rsidR="00A83580">
        <w:rPr>
          <w:rFonts w:ascii="Times New Roman" w:hAnsi="Times New Roman" w:cs="Times New Roman"/>
          <w:sz w:val="24"/>
          <w:szCs w:val="24"/>
        </w:rPr>
        <w:t xml:space="preserve"> są szczególnie </w:t>
      </w:r>
      <w:r w:rsidR="00172D5C" w:rsidRPr="00C56F23">
        <w:rPr>
          <w:rFonts w:ascii="Times New Roman" w:hAnsi="Times New Roman" w:cs="Times New Roman"/>
          <w:sz w:val="24"/>
          <w:szCs w:val="24"/>
        </w:rPr>
        <w:t>narażeni na</w:t>
      </w:r>
      <w:r w:rsidR="000717D7" w:rsidRPr="00C56F23">
        <w:rPr>
          <w:rFonts w:ascii="Times New Roman" w:hAnsi="Times New Roman" w:cs="Times New Roman"/>
          <w:sz w:val="24"/>
          <w:szCs w:val="24"/>
        </w:rPr>
        <w:t xml:space="preserve"> wzrost cen energii elektrycznej</w:t>
      </w:r>
      <w:r w:rsidR="0086439D" w:rsidRPr="00C56F23">
        <w:rPr>
          <w:rFonts w:ascii="Times New Roman" w:hAnsi="Times New Roman" w:cs="Times New Roman"/>
          <w:sz w:val="24"/>
          <w:szCs w:val="24"/>
        </w:rPr>
        <w:t xml:space="preserve">, co </w:t>
      </w:r>
      <w:r w:rsidR="00E141BA" w:rsidRPr="00C56F23">
        <w:rPr>
          <w:rFonts w:ascii="Times New Roman" w:hAnsi="Times New Roman" w:cs="Times New Roman"/>
          <w:sz w:val="24"/>
          <w:szCs w:val="24"/>
        </w:rPr>
        <w:t xml:space="preserve">w tych gospodarstwach domowych </w:t>
      </w:r>
      <w:r w:rsidR="00A83580">
        <w:rPr>
          <w:rFonts w:ascii="Times New Roman" w:hAnsi="Times New Roman" w:cs="Times New Roman"/>
          <w:sz w:val="24"/>
          <w:szCs w:val="24"/>
        </w:rPr>
        <w:t xml:space="preserve">spowoduje </w:t>
      </w:r>
      <w:r w:rsidR="0086439D" w:rsidRPr="00C56F23">
        <w:rPr>
          <w:rFonts w:ascii="Times New Roman" w:hAnsi="Times New Roman" w:cs="Times New Roman"/>
          <w:sz w:val="24"/>
          <w:szCs w:val="24"/>
        </w:rPr>
        <w:t>spadek możliwości regulowania rachunków</w:t>
      </w:r>
      <w:r w:rsidR="00E141BA" w:rsidRPr="00C56F23">
        <w:rPr>
          <w:rFonts w:ascii="Times New Roman" w:hAnsi="Times New Roman" w:cs="Times New Roman"/>
          <w:sz w:val="24"/>
          <w:szCs w:val="24"/>
        </w:rPr>
        <w:t xml:space="preserve"> i zagrożenie dla najsłabszych obywateli </w:t>
      </w:r>
      <w:r w:rsidR="00A83580">
        <w:rPr>
          <w:rFonts w:ascii="Times New Roman" w:hAnsi="Times New Roman" w:cs="Times New Roman"/>
          <w:sz w:val="24"/>
          <w:szCs w:val="24"/>
        </w:rPr>
        <w:t>objawiające się</w:t>
      </w:r>
      <w:r w:rsidR="004A19BB" w:rsidRPr="00C56F23">
        <w:rPr>
          <w:rFonts w:ascii="Times New Roman" w:hAnsi="Times New Roman" w:cs="Times New Roman"/>
          <w:sz w:val="24"/>
          <w:szCs w:val="24"/>
        </w:rPr>
        <w:t xml:space="preserve"> </w:t>
      </w:r>
      <w:r w:rsidR="00E141BA" w:rsidRPr="00C56F23">
        <w:rPr>
          <w:rFonts w:ascii="Times New Roman" w:hAnsi="Times New Roman" w:cs="Times New Roman"/>
          <w:sz w:val="24"/>
          <w:szCs w:val="24"/>
        </w:rPr>
        <w:t>wstrzymanie</w:t>
      </w:r>
      <w:r w:rsidR="00A83580">
        <w:rPr>
          <w:rFonts w:ascii="Times New Roman" w:hAnsi="Times New Roman" w:cs="Times New Roman"/>
          <w:sz w:val="24"/>
          <w:szCs w:val="24"/>
        </w:rPr>
        <w:t>m</w:t>
      </w:r>
      <w:r w:rsidR="004A19BB" w:rsidRPr="00C56F23">
        <w:rPr>
          <w:rFonts w:ascii="Times New Roman" w:hAnsi="Times New Roman" w:cs="Times New Roman"/>
          <w:sz w:val="24"/>
          <w:szCs w:val="24"/>
        </w:rPr>
        <w:t xml:space="preserve"> </w:t>
      </w:r>
      <w:r w:rsidR="00E141BA" w:rsidRPr="00C56F23">
        <w:rPr>
          <w:rFonts w:ascii="Times New Roman" w:hAnsi="Times New Roman" w:cs="Times New Roman"/>
          <w:sz w:val="24"/>
          <w:szCs w:val="24"/>
        </w:rPr>
        <w:t>dostaw</w:t>
      </w:r>
      <w:r w:rsidR="00A83580">
        <w:rPr>
          <w:rFonts w:ascii="Times New Roman" w:hAnsi="Times New Roman" w:cs="Times New Roman"/>
          <w:sz w:val="24"/>
          <w:szCs w:val="24"/>
        </w:rPr>
        <w:t xml:space="preserve"> energii elektrycznej</w:t>
      </w:r>
      <w:r w:rsidR="00172D5C" w:rsidRPr="00C56F23">
        <w:rPr>
          <w:rFonts w:ascii="Times New Roman" w:hAnsi="Times New Roman" w:cs="Times New Roman"/>
          <w:sz w:val="24"/>
          <w:szCs w:val="24"/>
        </w:rPr>
        <w:t>.</w:t>
      </w:r>
      <w:r w:rsidR="007B43CC">
        <w:rPr>
          <w:rFonts w:ascii="Times New Roman" w:hAnsi="Times New Roman" w:cs="Times New Roman"/>
          <w:sz w:val="24"/>
          <w:szCs w:val="24"/>
        </w:rPr>
        <w:t xml:space="preserve"> </w:t>
      </w:r>
    </w:p>
    <w:bookmarkEnd w:id="1"/>
    <w:p w14:paraId="20A78DF0" w14:textId="61DF1489" w:rsidR="00CC497B" w:rsidRDefault="0075799B" w:rsidP="0075799B">
      <w:pPr>
        <w:spacing w:after="0" w:line="360" w:lineRule="auto"/>
        <w:jc w:val="both"/>
        <w:rPr>
          <w:rFonts w:ascii="Times New Roman" w:hAnsi="Times New Roman" w:cs="Times New Roman"/>
          <w:sz w:val="24"/>
          <w:szCs w:val="24"/>
        </w:rPr>
      </w:pPr>
      <w:r w:rsidRPr="0075799B">
        <w:rPr>
          <w:rFonts w:ascii="Times New Roman" w:hAnsi="Times New Roman" w:cs="Times New Roman"/>
          <w:sz w:val="24"/>
          <w:szCs w:val="24"/>
        </w:rPr>
        <w:t xml:space="preserve">Kolejną grupą odbiorców wrażliwą na wahania cen energii elektrycznej są szeroko rozumiane podmioty użyteczności publicznej, do której należą placówki służby zdrowia, szkoły i uczelnie wyższe, placówki zajmujące się szeroko rozumianą opieką nad różnymi grupami społecznymi (jednostki pomocy społecznej, wspierania rodziny i systemu pieczy zastępczej, integracji społecznej, żłobki i kluby dziecięce, noclegownie, placówki opieki nad osobami niepełnosprawnymi). Przedmiotowa grupa odbiorców w dużej mierze podlega organizacyjnie jednostkom samorządu terytorialnego. </w:t>
      </w:r>
      <w:r w:rsidR="00CC497B" w:rsidRPr="00CC497B">
        <w:rPr>
          <w:rFonts w:ascii="Times New Roman" w:hAnsi="Times New Roman" w:cs="Times New Roman"/>
          <w:sz w:val="24"/>
          <w:szCs w:val="24"/>
        </w:rPr>
        <w:t xml:space="preserve">W tym miejscu warto nadmienić, że w przypadku sieci szpitali publicznych, podstawowym celem ich istnienia jest zagwarantowanie kompleksowości i ciągłości udzielanych świadczeń zdrowotnych obywatelom. Jednostki zakwalifikowane do sieci mają obowiązek zapewnić całkowitą opiekę zdrowotną podczas pełnego cyklu leczenia. </w:t>
      </w:r>
      <w:r w:rsidR="003504FD">
        <w:rPr>
          <w:rFonts w:ascii="Times New Roman" w:hAnsi="Times New Roman" w:cs="Times New Roman"/>
          <w:sz w:val="24"/>
          <w:szCs w:val="24"/>
        </w:rPr>
        <w:t>Równie ważne jest wsparcie działania</w:t>
      </w:r>
      <w:r w:rsidR="00CC497B" w:rsidRPr="00CC497B">
        <w:rPr>
          <w:rFonts w:ascii="Times New Roman" w:hAnsi="Times New Roman" w:cs="Times New Roman"/>
          <w:sz w:val="24"/>
          <w:szCs w:val="24"/>
        </w:rPr>
        <w:t xml:space="preserve"> placówek oświatowych </w:t>
      </w:r>
      <w:r w:rsidR="003504FD">
        <w:rPr>
          <w:rFonts w:ascii="Times New Roman" w:hAnsi="Times New Roman" w:cs="Times New Roman"/>
          <w:sz w:val="24"/>
          <w:szCs w:val="24"/>
        </w:rPr>
        <w:t>funkcjonujących zgodnie k</w:t>
      </w:r>
      <w:r w:rsidR="00CC497B" w:rsidRPr="00CC497B">
        <w:rPr>
          <w:rFonts w:ascii="Times New Roman" w:hAnsi="Times New Roman" w:cs="Times New Roman"/>
          <w:sz w:val="24"/>
          <w:szCs w:val="24"/>
        </w:rPr>
        <w:t xml:space="preserve">onstytucyjną zasadą zapewnienia przez władze publiczne powszechnego i równego dostępu do edukacji. Również realizacja obowiązku władz publicznych w zakresie pomocy w </w:t>
      </w:r>
      <w:r w:rsidR="00CC497B" w:rsidRPr="00CC497B">
        <w:rPr>
          <w:rFonts w:ascii="Times New Roman" w:hAnsi="Times New Roman" w:cs="Times New Roman"/>
          <w:sz w:val="24"/>
          <w:szCs w:val="24"/>
        </w:rPr>
        <w:lastRenderedPageBreak/>
        <w:t xml:space="preserve">zabezpieczeniu egzystencji osób niepełnosprawnych oraz pomocy rodzinom znajdującym się w trudnej sytuacji materialnej i społecznej będzie </w:t>
      </w:r>
      <w:r w:rsidR="003504FD">
        <w:rPr>
          <w:rFonts w:ascii="Times New Roman" w:hAnsi="Times New Roman" w:cs="Times New Roman"/>
          <w:sz w:val="24"/>
          <w:szCs w:val="24"/>
        </w:rPr>
        <w:t>wsparta przez poniższy projekt.</w:t>
      </w:r>
    </w:p>
    <w:p w14:paraId="4B29FC24" w14:textId="168108A8" w:rsidR="00CC497B" w:rsidRPr="00CC497B" w:rsidRDefault="0075799B" w:rsidP="00CC497B">
      <w:pPr>
        <w:spacing w:after="0" w:line="360" w:lineRule="auto"/>
        <w:jc w:val="both"/>
        <w:rPr>
          <w:rFonts w:ascii="Times New Roman" w:hAnsi="Times New Roman" w:cs="Times New Roman"/>
          <w:sz w:val="24"/>
          <w:szCs w:val="24"/>
        </w:rPr>
      </w:pPr>
      <w:r w:rsidRPr="0075799B">
        <w:rPr>
          <w:rFonts w:ascii="Times New Roman" w:hAnsi="Times New Roman" w:cs="Times New Roman"/>
          <w:sz w:val="24"/>
          <w:szCs w:val="24"/>
        </w:rPr>
        <w:t>Również sektor mikro</w:t>
      </w:r>
      <w:r w:rsidR="00770AB2">
        <w:rPr>
          <w:rFonts w:ascii="Times New Roman" w:hAnsi="Times New Roman" w:cs="Times New Roman"/>
          <w:sz w:val="24"/>
          <w:szCs w:val="24"/>
        </w:rPr>
        <w:t>-</w:t>
      </w:r>
      <w:r w:rsidRPr="0075799B">
        <w:rPr>
          <w:rFonts w:ascii="Times New Roman" w:hAnsi="Times New Roman" w:cs="Times New Roman"/>
          <w:sz w:val="24"/>
          <w:szCs w:val="24"/>
        </w:rPr>
        <w:t>, małych i średnich przedsiębiorstw jest szczególnie wrażliwy na wzrost kosztów zużycia energii elektrycznej. Mikro</w:t>
      </w:r>
      <w:r w:rsidR="00B30D21">
        <w:rPr>
          <w:rFonts w:ascii="Times New Roman" w:hAnsi="Times New Roman" w:cs="Times New Roman"/>
          <w:sz w:val="24"/>
          <w:szCs w:val="24"/>
        </w:rPr>
        <w:t>-</w:t>
      </w:r>
      <w:r w:rsidRPr="0075799B">
        <w:rPr>
          <w:rFonts w:ascii="Times New Roman" w:hAnsi="Times New Roman" w:cs="Times New Roman"/>
          <w:sz w:val="24"/>
          <w:szCs w:val="24"/>
        </w:rPr>
        <w:t xml:space="preserve">, małe i średnie przedsiębiorstwa mają bowiem ograniczone warunki dostępu do środków inwestycyjnych niż przedsiębiorstwa o większym rozmiarze działalności, wyższe jest w tej grupie przedsiębiorstw również ryzyko utraty płynności finansowej. </w:t>
      </w:r>
      <w:r w:rsidR="00CC497B" w:rsidRPr="00CC497B">
        <w:rPr>
          <w:rFonts w:ascii="Times New Roman" w:hAnsi="Times New Roman" w:cs="Times New Roman"/>
          <w:sz w:val="24"/>
          <w:szCs w:val="24"/>
        </w:rPr>
        <w:t>Z kolei ewentualna fala upadłości wśród mikro</w:t>
      </w:r>
      <w:r w:rsidR="00770AB2">
        <w:rPr>
          <w:rFonts w:ascii="Times New Roman" w:hAnsi="Times New Roman" w:cs="Times New Roman"/>
          <w:sz w:val="24"/>
          <w:szCs w:val="24"/>
        </w:rPr>
        <w:t>-</w:t>
      </w:r>
      <w:r w:rsidR="00CC497B" w:rsidRPr="00CC497B">
        <w:rPr>
          <w:rFonts w:ascii="Times New Roman" w:hAnsi="Times New Roman" w:cs="Times New Roman"/>
          <w:sz w:val="24"/>
          <w:szCs w:val="24"/>
        </w:rPr>
        <w:t>, małych i średnich przedsiębiorstw, które stanowią 99,8% ogólnej liczby przedsiębiorstw w Polsce, z udziałem w strukturze ogólnego zatrudnienia</w:t>
      </w:r>
      <w:r w:rsidR="001C4394">
        <w:rPr>
          <w:rFonts w:ascii="Times New Roman" w:hAnsi="Times New Roman" w:cs="Times New Roman"/>
          <w:sz w:val="24"/>
          <w:szCs w:val="24"/>
        </w:rPr>
        <w:t xml:space="preserve"> wynoszącego </w:t>
      </w:r>
      <w:r w:rsidR="001C4394" w:rsidRPr="00CC497B">
        <w:rPr>
          <w:rFonts w:ascii="Times New Roman" w:hAnsi="Times New Roman" w:cs="Times New Roman"/>
          <w:sz w:val="24"/>
          <w:szCs w:val="24"/>
        </w:rPr>
        <w:t>56%</w:t>
      </w:r>
      <w:r w:rsidR="00CC497B" w:rsidRPr="00CC497B">
        <w:rPr>
          <w:rFonts w:ascii="Times New Roman" w:hAnsi="Times New Roman" w:cs="Times New Roman"/>
          <w:sz w:val="24"/>
          <w:szCs w:val="24"/>
        </w:rPr>
        <w:t xml:space="preserve">, </w:t>
      </w:r>
      <w:r w:rsidR="003504FD">
        <w:rPr>
          <w:rFonts w:ascii="Times New Roman" w:hAnsi="Times New Roman" w:cs="Times New Roman"/>
          <w:sz w:val="24"/>
          <w:szCs w:val="24"/>
        </w:rPr>
        <w:t xml:space="preserve">mogłaby </w:t>
      </w:r>
      <w:r w:rsidR="00CC497B" w:rsidRPr="00CC497B">
        <w:rPr>
          <w:rFonts w:ascii="Times New Roman" w:hAnsi="Times New Roman" w:cs="Times New Roman"/>
          <w:sz w:val="24"/>
          <w:szCs w:val="24"/>
        </w:rPr>
        <w:t>przyczyni</w:t>
      </w:r>
      <w:r w:rsidR="003504FD">
        <w:rPr>
          <w:rFonts w:ascii="Times New Roman" w:hAnsi="Times New Roman" w:cs="Times New Roman"/>
          <w:sz w:val="24"/>
          <w:szCs w:val="24"/>
        </w:rPr>
        <w:t>ć</w:t>
      </w:r>
      <w:r w:rsidR="00CC497B" w:rsidRPr="00CC497B">
        <w:rPr>
          <w:rFonts w:ascii="Times New Roman" w:hAnsi="Times New Roman" w:cs="Times New Roman"/>
          <w:sz w:val="24"/>
          <w:szCs w:val="24"/>
        </w:rPr>
        <w:t xml:space="preserve"> się do wzrostu bezrobocia, a także upadku małych rodzinnych biznesów prowadzonych często wielopokoleniowo jako tradycja rodzinna.</w:t>
      </w:r>
    </w:p>
    <w:p w14:paraId="4EFC9515" w14:textId="3DDA4FE1" w:rsidR="00922A76" w:rsidRPr="00C56F23" w:rsidRDefault="000207E8" w:rsidP="000717D7">
      <w:pPr>
        <w:spacing w:after="0" w:line="360" w:lineRule="auto"/>
        <w:jc w:val="both"/>
        <w:rPr>
          <w:rFonts w:ascii="Times New Roman" w:hAnsi="Times New Roman" w:cs="Times New Roman"/>
          <w:sz w:val="24"/>
          <w:szCs w:val="24"/>
        </w:rPr>
      </w:pPr>
      <w:r w:rsidRPr="00C56F23">
        <w:rPr>
          <w:rFonts w:ascii="Times New Roman" w:hAnsi="Times New Roman" w:cs="Times New Roman"/>
          <w:sz w:val="24"/>
          <w:szCs w:val="24"/>
        </w:rPr>
        <w:t xml:space="preserve">W celu zminimalizowania podwyżek cen energii elektrycznej dla </w:t>
      </w:r>
      <w:r w:rsidR="003A1AD9">
        <w:rPr>
          <w:rFonts w:ascii="Times New Roman" w:hAnsi="Times New Roman" w:cs="Times New Roman"/>
          <w:sz w:val="24"/>
          <w:szCs w:val="24"/>
        </w:rPr>
        <w:t>ww. grup odbiorców</w:t>
      </w:r>
      <w:r w:rsidR="00CA66FC">
        <w:rPr>
          <w:rFonts w:ascii="Times New Roman" w:hAnsi="Times New Roman" w:cs="Times New Roman"/>
          <w:sz w:val="24"/>
          <w:szCs w:val="24"/>
        </w:rPr>
        <w:t>,</w:t>
      </w:r>
      <w:r w:rsidR="000717D7" w:rsidRPr="00C56F23">
        <w:rPr>
          <w:rFonts w:ascii="Times New Roman" w:hAnsi="Times New Roman" w:cs="Times New Roman"/>
          <w:sz w:val="24"/>
          <w:szCs w:val="24"/>
        </w:rPr>
        <w:t xml:space="preserve"> a także zwiększenia bezpieczeństwa energetycznego obywateli przez zagwarantowanie ciągłości dostaw energii elektrycznej do gospodarstw domowych</w:t>
      </w:r>
      <w:r w:rsidR="003A1AD9">
        <w:rPr>
          <w:rFonts w:ascii="Times New Roman" w:hAnsi="Times New Roman" w:cs="Times New Roman"/>
          <w:sz w:val="24"/>
          <w:szCs w:val="24"/>
        </w:rPr>
        <w:t xml:space="preserve">, dla podmiotów realizujących zadania z zakresu użyteczności publicznej, jak również dla sektora małych i średnich przedsiębiorstw, </w:t>
      </w:r>
      <w:r w:rsidR="00C85B42" w:rsidRPr="00C56F23">
        <w:rPr>
          <w:rFonts w:ascii="Times New Roman" w:hAnsi="Times New Roman" w:cs="Times New Roman"/>
          <w:sz w:val="24"/>
          <w:szCs w:val="24"/>
        </w:rPr>
        <w:t>istnieje konieczność wprowadzenia szczególn</w:t>
      </w:r>
      <w:r w:rsidR="0086141F" w:rsidRPr="00C56F23">
        <w:rPr>
          <w:rFonts w:ascii="Times New Roman" w:hAnsi="Times New Roman" w:cs="Times New Roman"/>
          <w:sz w:val="24"/>
          <w:szCs w:val="24"/>
        </w:rPr>
        <w:t>ego</w:t>
      </w:r>
      <w:r w:rsidR="00C85B42" w:rsidRPr="00C56F23">
        <w:rPr>
          <w:rFonts w:ascii="Times New Roman" w:hAnsi="Times New Roman" w:cs="Times New Roman"/>
          <w:sz w:val="24"/>
          <w:szCs w:val="24"/>
        </w:rPr>
        <w:t xml:space="preserve"> rozwiąza</w:t>
      </w:r>
      <w:r w:rsidR="0086141F" w:rsidRPr="00C56F23">
        <w:rPr>
          <w:rFonts w:ascii="Times New Roman" w:hAnsi="Times New Roman" w:cs="Times New Roman"/>
          <w:sz w:val="24"/>
          <w:szCs w:val="24"/>
        </w:rPr>
        <w:t>nia</w:t>
      </w:r>
      <w:r w:rsidR="00C85B42" w:rsidRPr="00C56F23">
        <w:rPr>
          <w:rFonts w:ascii="Times New Roman" w:hAnsi="Times New Roman" w:cs="Times New Roman"/>
          <w:sz w:val="24"/>
          <w:szCs w:val="24"/>
        </w:rPr>
        <w:t xml:space="preserve"> osłonow</w:t>
      </w:r>
      <w:r w:rsidR="0086141F" w:rsidRPr="00C56F23">
        <w:rPr>
          <w:rFonts w:ascii="Times New Roman" w:hAnsi="Times New Roman" w:cs="Times New Roman"/>
          <w:sz w:val="24"/>
          <w:szCs w:val="24"/>
        </w:rPr>
        <w:t>ego</w:t>
      </w:r>
      <w:r w:rsidR="00C85B42" w:rsidRPr="00C56F23">
        <w:rPr>
          <w:rFonts w:ascii="Times New Roman" w:hAnsi="Times New Roman" w:cs="Times New Roman"/>
          <w:sz w:val="24"/>
          <w:szCs w:val="24"/>
        </w:rPr>
        <w:t xml:space="preserve"> umożliwiając</w:t>
      </w:r>
      <w:r w:rsidR="0086141F" w:rsidRPr="00C56F23">
        <w:rPr>
          <w:rFonts w:ascii="Times New Roman" w:hAnsi="Times New Roman" w:cs="Times New Roman"/>
          <w:sz w:val="24"/>
          <w:szCs w:val="24"/>
        </w:rPr>
        <w:t>ego</w:t>
      </w:r>
      <w:r w:rsidR="00C85B42" w:rsidRPr="00C56F23">
        <w:rPr>
          <w:rFonts w:ascii="Times New Roman" w:hAnsi="Times New Roman" w:cs="Times New Roman"/>
          <w:sz w:val="24"/>
          <w:szCs w:val="24"/>
        </w:rPr>
        <w:t xml:space="preserve"> podejmowanie działań minimalizujących negatywne skutki społeczno-gospodarcze związane ze znaczącym wzrostem cen energii</w:t>
      </w:r>
      <w:r w:rsidR="00B61BA2" w:rsidRPr="00C56F23">
        <w:rPr>
          <w:rFonts w:ascii="Times New Roman" w:hAnsi="Times New Roman" w:cs="Times New Roman"/>
          <w:sz w:val="24"/>
          <w:szCs w:val="24"/>
        </w:rPr>
        <w:t xml:space="preserve"> elektrycznej w </w:t>
      </w:r>
      <w:r w:rsidR="004A19BB" w:rsidRPr="00C56F23">
        <w:rPr>
          <w:rFonts w:ascii="Times New Roman" w:hAnsi="Times New Roman" w:cs="Times New Roman"/>
          <w:sz w:val="24"/>
          <w:szCs w:val="24"/>
        </w:rPr>
        <w:t>2023 r.</w:t>
      </w:r>
      <w:r w:rsidR="00AA0BCD" w:rsidRPr="00C56F23">
        <w:rPr>
          <w:rFonts w:ascii="Times New Roman" w:hAnsi="Times New Roman" w:cs="Times New Roman"/>
          <w:sz w:val="24"/>
          <w:szCs w:val="24"/>
        </w:rPr>
        <w:t xml:space="preserve"> w zatwierdzanych taryfach dla obrotu energią elektryczną przez Prez</w:t>
      </w:r>
      <w:r w:rsidR="007B43CC">
        <w:rPr>
          <w:rFonts w:ascii="Times New Roman" w:hAnsi="Times New Roman" w:cs="Times New Roman"/>
          <w:sz w:val="24"/>
          <w:szCs w:val="24"/>
        </w:rPr>
        <w:t xml:space="preserve">esa Urzędu Regulacji Energetyki oraz w </w:t>
      </w:r>
      <w:r w:rsidR="0007133C">
        <w:rPr>
          <w:rFonts w:ascii="Times New Roman" w:hAnsi="Times New Roman" w:cs="Times New Roman"/>
          <w:sz w:val="24"/>
          <w:szCs w:val="24"/>
        </w:rPr>
        <w:t xml:space="preserve">świadczonych </w:t>
      </w:r>
      <w:r w:rsidR="007B43CC">
        <w:rPr>
          <w:rFonts w:ascii="Times New Roman" w:hAnsi="Times New Roman" w:cs="Times New Roman"/>
          <w:sz w:val="24"/>
          <w:szCs w:val="24"/>
        </w:rPr>
        <w:t>ofertach sprzedawców energii</w:t>
      </w:r>
      <w:r w:rsidR="004D3F4C">
        <w:rPr>
          <w:rFonts w:ascii="Times New Roman" w:hAnsi="Times New Roman" w:cs="Times New Roman"/>
          <w:sz w:val="24"/>
          <w:szCs w:val="24"/>
        </w:rPr>
        <w:t xml:space="preserve"> opartych na zasadach wynikających </w:t>
      </w:r>
      <w:r w:rsidR="00834023">
        <w:rPr>
          <w:rFonts w:ascii="Times New Roman" w:hAnsi="Times New Roman" w:cs="Times New Roman"/>
          <w:sz w:val="24"/>
          <w:szCs w:val="24"/>
        </w:rPr>
        <w:t>z postanowień</w:t>
      </w:r>
      <w:r w:rsidR="004D3F4C">
        <w:rPr>
          <w:rFonts w:ascii="Times New Roman" w:hAnsi="Times New Roman" w:cs="Times New Roman"/>
          <w:sz w:val="24"/>
          <w:szCs w:val="24"/>
        </w:rPr>
        <w:t xml:space="preserve"> umownych pomiędzy sprzedawcami a odbiorcami energii elektrycznej.</w:t>
      </w:r>
    </w:p>
    <w:p w14:paraId="7DCEB6C1" w14:textId="5EDD4800" w:rsidR="00E250FC" w:rsidRDefault="00A83580" w:rsidP="00E250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Projektowana </w:t>
      </w:r>
      <w:r w:rsidR="00FC246E">
        <w:rPr>
          <w:rFonts w:ascii="Times New Roman" w:hAnsi="Times New Roman" w:cs="Times New Roman"/>
          <w:sz w:val="24"/>
          <w:szCs w:val="24"/>
        </w:rPr>
        <w:t>regulacja</w:t>
      </w:r>
      <w:r w:rsidR="00E141BA" w:rsidRPr="00C56F23">
        <w:rPr>
          <w:rFonts w:ascii="Times New Roman" w:hAnsi="Times New Roman" w:cs="Times New Roman"/>
          <w:sz w:val="24"/>
          <w:szCs w:val="24"/>
        </w:rPr>
        <w:t xml:space="preserve"> pozwoli na uruchomienie nadzwyczajnego instrumentu zwiększające</w:t>
      </w:r>
      <w:r w:rsidR="004A19BB" w:rsidRPr="00C56F23">
        <w:rPr>
          <w:rFonts w:ascii="Times New Roman" w:hAnsi="Times New Roman" w:cs="Times New Roman"/>
          <w:sz w:val="24"/>
          <w:szCs w:val="24"/>
        </w:rPr>
        <w:t>go</w:t>
      </w:r>
      <w:r w:rsidR="00E141BA" w:rsidRPr="00C56F23">
        <w:rPr>
          <w:rFonts w:ascii="Times New Roman" w:hAnsi="Times New Roman" w:cs="Times New Roman"/>
          <w:sz w:val="24"/>
          <w:szCs w:val="24"/>
        </w:rPr>
        <w:t xml:space="preserve"> bezpieczeństwo energetyczne</w:t>
      </w:r>
      <w:r w:rsidR="00B61BA2" w:rsidRPr="00C56F23">
        <w:rPr>
          <w:rFonts w:ascii="Times New Roman" w:hAnsi="Times New Roman" w:cs="Times New Roman"/>
          <w:sz w:val="24"/>
          <w:szCs w:val="24"/>
        </w:rPr>
        <w:t xml:space="preserve"> </w:t>
      </w:r>
      <w:r w:rsidR="004A19BB" w:rsidRPr="00C56F23">
        <w:rPr>
          <w:rFonts w:ascii="Times New Roman" w:hAnsi="Times New Roman" w:cs="Times New Roman"/>
          <w:sz w:val="24"/>
          <w:szCs w:val="24"/>
        </w:rPr>
        <w:t>gospodarstw domowych</w:t>
      </w:r>
      <w:r w:rsidR="008773FE" w:rsidRPr="00C56F23">
        <w:rPr>
          <w:rFonts w:ascii="Times New Roman" w:hAnsi="Times New Roman" w:cs="Times New Roman"/>
          <w:sz w:val="24"/>
          <w:szCs w:val="24"/>
        </w:rPr>
        <w:t>,</w:t>
      </w:r>
      <w:r w:rsidR="00132FBC">
        <w:rPr>
          <w:rFonts w:ascii="Times New Roman" w:hAnsi="Times New Roman" w:cs="Times New Roman"/>
          <w:sz w:val="24"/>
          <w:szCs w:val="24"/>
        </w:rPr>
        <w:t xml:space="preserve"> niektórych podmiotów</w:t>
      </w:r>
      <w:r w:rsidR="004A19BB" w:rsidRPr="00C56F23">
        <w:rPr>
          <w:rFonts w:ascii="Times New Roman" w:hAnsi="Times New Roman" w:cs="Times New Roman"/>
          <w:sz w:val="24"/>
          <w:szCs w:val="24"/>
        </w:rPr>
        <w:t xml:space="preserve"> </w:t>
      </w:r>
      <w:r w:rsidR="00132FBC">
        <w:rPr>
          <w:rFonts w:ascii="Times New Roman" w:hAnsi="Times New Roman" w:cs="Times New Roman"/>
          <w:sz w:val="24"/>
          <w:szCs w:val="24"/>
        </w:rPr>
        <w:t xml:space="preserve">świadczących usługi użyteczności publicznej oraz sektora </w:t>
      </w:r>
      <w:r w:rsidR="001C4394">
        <w:rPr>
          <w:rFonts w:ascii="Times New Roman" w:hAnsi="Times New Roman" w:cs="Times New Roman"/>
          <w:sz w:val="24"/>
          <w:szCs w:val="24"/>
        </w:rPr>
        <w:t>mikro</w:t>
      </w:r>
      <w:r w:rsidR="00770AB2">
        <w:rPr>
          <w:rFonts w:ascii="Times New Roman" w:hAnsi="Times New Roman" w:cs="Times New Roman"/>
          <w:sz w:val="24"/>
          <w:szCs w:val="24"/>
        </w:rPr>
        <w:t>-</w:t>
      </w:r>
      <w:r w:rsidR="001C4394">
        <w:rPr>
          <w:rFonts w:ascii="Times New Roman" w:hAnsi="Times New Roman" w:cs="Times New Roman"/>
          <w:sz w:val="24"/>
          <w:szCs w:val="24"/>
        </w:rPr>
        <w:t xml:space="preserve">, </w:t>
      </w:r>
      <w:r w:rsidR="00132FBC">
        <w:rPr>
          <w:rFonts w:ascii="Times New Roman" w:hAnsi="Times New Roman" w:cs="Times New Roman"/>
          <w:sz w:val="24"/>
          <w:szCs w:val="24"/>
        </w:rPr>
        <w:t>małych i średnich przedsiębiorstw</w:t>
      </w:r>
      <w:r w:rsidR="00805033" w:rsidRPr="00C56F23">
        <w:rPr>
          <w:rFonts w:ascii="Times New Roman" w:hAnsi="Times New Roman" w:cs="Times New Roman"/>
          <w:sz w:val="24"/>
          <w:szCs w:val="24"/>
        </w:rPr>
        <w:t xml:space="preserve"> i zapewni im cen</w:t>
      </w:r>
      <w:r w:rsidR="00FC246E">
        <w:rPr>
          <w:rFonts w:ascii="Times New Roman" w:hAnsi="Times New Roman" w:cs="Times New Roman"/>
          <w:sz w:val="24"/>
          <w:szCs w:val="24"/>
        </w:rPr>
        <w:t>y</w:t>
      </w:r>
      <w:r w:rsidR="00805033" w:rsidRPr="00C56F23">
        <w:rPr>
          <w:rFonts w:ascii="Times New Roman" w:hAnsi="Times New Roman" w:cs="Times New Roman"/>
          <w:sz w:val="24"/>
          <w:szCs w:val="24"/>
        </w:rPr>
        <w:t xml:space="preserve"> energii elektrycznej na poziomie umożliwiający</w:t>
      </w:r>
      <w:r w:rsidR="00FC246E">
        <w:rPr>
          <w:rFonts w:ascii="Times New Roman" w:hAnsi="Times New Roman" w:cs="Times New Roman"/>
          <w:sz w:val="24"/>
          <w:szCs w:val="24"/>
        </w:rPr>
        <w:t>m</w:t>
      </w:r>
      <w:r w:rsidR="00805033" w:rsidRPr="00C56F23">
        <w:rPr>
          <w:rFonts w:ascii="Times New Roman" w:hAnsi="Times New Roman" w:cs="Times New Roman"/>
          <w:sz w:val="24"/>
          <w:szCs w:val="24"/>
        </w:rPr>
        <w:t xml:space="preserve"> opłacenie rachunków.</w:t>
      </w:r>
      <w:r w:rsidR="0003278A" w:rsidRPr="00C56F23">
        <w:rPr>
          <w:rFonts w:ascii="Times New Roman" w:hAnsi="Times New Roman" w:cs="Times New Roman"/>
          <w:sz w:val="24"/>
          <w:szCs w:val="24"/>
        </w:rPr>
        <w:t xml:space="preserve"> Jednocześnie zaproponowany instrument został skonstruowany w taki sposób, ab</w:t>
      </w:r>
      <w:r w:rsidR="00407BCF" w:rsidRPr="00C56F23">
        <w:rPr>
          <w:rFonts w:ascii="Times New Roman" w:hAnsi="Times New Roman" w:cs="Times New Roman"/>
          <w:sz w:val="24"/>
          <w:szCs w:val="24"/>
        </w:rPr>
        <w:t>y zachęcać odbiorców do oszczędzania energii</w:t>
      </w:r>
      <w:r w:rsidR="00AB2CF9">
        <w:rPr>
          <w:rFonts w:ascii="Times New Roman" w:hAnsi="Times New Roman" w:cs="Times New Roman"/>
          <w:sz w:val="24"/>
          <w:szCs w:val="24"/>
        </w:rPr>
        <w:t xml:space="preserve"> elektrycznej</w:t>
      </w:r>
      <w:r w:rsidR="00407BCF" w:rsidRPr="00C56F23">
        <w:rPr>
          <w:rFonts w:ascii="Times New Roman" w:hAnsi="Times New Roman" w:cs="Times New Roman"/>
          <w:sz w:val="24"/>
          <w:szCs w:val="24"/>
        </w:rPr>
        <w:t>.</w:t>
      </w:r>
      <w:r w:rsidR="007947DC">
        <w:rPr>
          <w:rFonts w:ascii="Times New Roman" w:hAnsi="Times New Roman" w:cs="Times New Roman"/>
          <w:sz w:val="24"/>
          <w:szCs w:val="24"/>
        </w:rPr>
        <w:t xml:space="preserve"> Projekt ustawy ma na celu zapewnienie wsparcia dla odbiorców</w:t>
      </w:r>
      <w:r w:rsidR="00660BC7">
        <w:rPr>
          <w:rFonts w:ascii="Times New Roman" w:hAnsi="Times New Roman" w:cs="Times New Roman"/>
          <w:sz w:val="24"/>
          <w:szCs w:val="24"/>
        </w:rPr>
        <w:t xml:space="preserve"> energii elektrycznej w gospodarstwach domowych, w tym zużywanej na potrzeby </w:t>
      </w:r>
      <w:r w:rsidR="009A23BA" w:rsidRPr="009A23BA">
        <w:rPr>
          <w:rFonts w:ascii="Times New Roman" w:hAnsi="Times New Roman" w:cs="Times New Roman"/>
          <w:sz w:val="24"/>
          <w:szCs w:val="24"/>
        </w:rPr>
        <w:t>pomieszcze</w:t>
      </w:r>
      <w:r w:rsidR="00660BC7">
        <w:rPr>
          <w:rFonts w:ascii="Times New Roman" w:hAnsi="Times New Roman" w:cs="Times New Roman"/>
          <w:sz w:val="24"/>
          <w:szCs w:val="24"/>
        </w:rPr>
        <w:t>ń</w:t>
      </w:r>
      <w:r w:rsidR="009A23BA" w:rsidRPr="009A23BA">
        <w:rPr>
          <w:rFonts w:ascii="Times New Roman" w:hAnsi="Times New Roman" w:cs="Times New Roman"/>
          <w:sz w:val="24"/>
          <w:szCs w:val="24"/>
        </w:rPr>
        <w:t xml:space="preserve"> gospodarcz</w:t>
      </w:r>
      <w:r w:rsidR="00660BC7">
        <w:rPr>
          <w:rFonts w:ascii="Times New Roman" w:hAnsi="Times New Roman" w:cs="Times New Roman"/>
          <w:sz w:val="24"/>
          <w:szCs w:val="24"/>
        </w:rPr>
        <w:t>ych</w:t>
      </w:r>
      <w:r w:rsidR="009A23BA" w:rsidRPr="009A23BA">
        <w:rPr>
          <w:rFonts w:ascii="Times New Roman" w:hAnsi="Times New Roman" w:cs="Times New Roman"/>
          <w:sz w:val="24"/>
          <w:szCs w:val="24"/>
        </w:rPr>
        <w:t xml:space="preserve"> związan</w:t>
      </w:r>
      <w:r w:rsidR="00660BC7">
        <w:rPr>
          <w:rFonts w:ascii="Times New Roman" w:hAnsi="Times New Roman" w:cs="Times New Roman"/>
          <w:sz w:val="24"/>
          <w:szCs w:val="24"/>
        </w:rPr>
        <w:t>ych</w:t>
      </w:r>
      <w:r w:rsidR="009A23BA" w:rsidRPr="009A23BA">
        <w:rPr>
          <w:rFonts w:ascii="Times New Roman" w:hAnsi="Times New Roman" w:cs="Times New Roman"/>
          <w:sz w:val="24"/>
          <w:szCs w:val="24"/>
        </w:rPr>
        <w:t xml:space="preserve"> z prowadzeniem gospodarstw domowych, lokal</w:t>
      </w:r>
      <w:r w:rsidR="00660BC7">
        <w:rPr>
          <w:rFonts w:ascii="Times New Roman" w:hAnsi="Times New Roman" w:cs="Times New Roman"/>
          <w:sz w:val="24"/>
          <w:szCs w:val="24"/>
        </w:rPr>
        <w:t>i</w:t>
      </w:r>
      <w:r w:rsidR="009A23BA" w:rsidRPr="009A23BA">
        <w:rPr>
          <w:rFonts w:ascii="Times New Roman" w:hAnsi="Times New Roman" w:cs="Times New Roman"/>
          <w:sz w:val="24"/>
          <w:szCs w:val="24"/>
        </w:rPr>
        <w:t xml:space="preserve"> o charakterze zbiorowego mieszkania, węzł</w:t>
      </w:r>
      <w:r w:rsidR="00660BC7">
        <w:rPr>
          <w:rFonts w:ascii="Times New Roman" w:hAnsi="Times New Roman" w:cs="Times New Roman"/>
          <w:sz w:val="24"/>
          <w:szCs w:val="24"/>
        </w:rPr>
        <w:t>ów</w:t>
      </w:r>
      <w:r w:rsidR="009A23BA" w:rsidRPr="009A23BA">
        <w:rPr>
          <w:rFonts w:ascii="Times New Roman" w:hAnsi="Times New Roman" w:cs="Times New Roman"/>
          <w:sz w:val="24"/>
          <w:szCs w:val="24"/>
        </w:rPr>
        <w:t xml:space="preserve"> ciepln</w:t>
      </w:r>
      <w:r w:rsidR="00660BC7">
        <w:rPr>
          <w:rFonts w:ascii="Times New Roman" w:hAnsi="Times New Roman" w:cs="Times New Roman"/>
          <w:sz w:val="24"/>
          <w:szCs w:val="24"/>
        </w:rPr>
        <w:t>ych</w:t>
      </w:r>
      <w:r w:rsidR="009A23BA" w:rsidRPr="009A23BA">
        <w:rPr>
          <w:rFonts w:ascii="Times New Roman" w:hAnsi="Times New Roman" w:cs="Times New Roman"/>
          <w:sz w:val="24"/>
          <w:szCs w:val="24"/>
        </w:rPr>
        <w:t xml:space="preserve"> i hydroforni, oświetlenia budynków mieszkalnych, garaż</w:t>
      </w:r>
      <w:r w:rsidR="00660BC7">
        <w:rPr>
          <w:rFonts w:ascii="Times New Roman" w:hAnsi="Times New Roman" w:cs="Times New Roman"/>
          <w:sz w:val="24"/>
          <w:szCs w:val="24"/>
        </w:rPr>
        <w:t>y</w:t>
      </w:r>
      <w:r w:rsidR="009A23BA" w:rsidRPr="009A23BA">
        <w:rPr>
          <w:rFonts w:ascii="Times New Roman" w:hAnsi="Times New Roman" w:cs="Times New Roman"/>
          <w:sz w:val="24"/>
          <w:szCs w:val="24"/>
        </w:rPr>
        <w:t>, dom</w:t>
      </w:r>
      <w:r w:rsidR="00660BC7">
        <w:rPr>
          <w:rFonts w:ascii="Times New Roman" w:hAnsi="Times New Roman" w:cs="Times New Roman"/>
          <w:sz w:val="24"/>
          <w:szCs w:val="24"/>
        </w:rPr>
        <w:t>ów</w:t>
      </w:r>
      <w:r w:rsidR="009A23BA" w:rsidRPr="009A23BA">
        <w:rPr>
          <w:rFonts w:ascii="Times New Roman" w:hAnsi="Times New Roman" w:cs="Times New Roman"/>
          <w:sz w:val="24"/>
          <w:szCs w:val="24"/>
        </w:rPr>
        <w:t xml:space="preserve"> letniskow</w:t>
      </w:r>
      <w:r w:rsidR="00660BC7">
        <w:rPr>
          <w:rFonts w:ascii="Times New Roman" w:hAnsi="Times New Roman" w:cs="Times New Roman"/>
          <w:sz w:val="24"/>
          <w:szCs w:val="24"/>
        </w:rPr>
        <w:t>ych</w:t>
      </w:r>
      <w:r w:rsidR="009A23BA" w:rsidRPr="009A23BA">
        <w:rPr>
          <w:rFonts w:ascii="Times New Roman" w:hAnsi="Times New Roman" w:cs="Times New Roman"/>
          <w:sz w:val="24"/>
          <w:szCs w:val="24"/>
        </w:rPr>
        <w:t xml:space="preserve"> w ogródkach działkowych – o ile nie jest w tych pomieszczeniach prowadzona działalność gospodarcza</w:t>
      </w:r>
      <w:r w:rsidR="009A23BA">
        <w:rPr>
          <w:rFonts w:ascii="Times New Roman" w:hAnsi="Times New Roman" w:cs="Times New Roman"/>
          <w:sz w:val="24"/>
          <w:szCs w:val="24"/>
        </w:rPr>
        <w:t>.</w:t>
      </w:r>
      <w:r w:rsidR="00132FBC">
        <w:rPr>
          <w:rFonts w:ascii="Times New Roman" w:hAnsi="Times New Roman" w:cs="Times New Roman"/>
          <w:sz w:val="24"/>
          <w:szCs w:val="24"/>
        </w:rPr>
        <w:t xml:space="preserve"> Ponadto, projektowana regulacja zapewni wsparcie</w:t>
      </w:r>
      <w:r w:rsidR="002E7251">
        <w:rPr>
          <w:rFonts w:ascii="Times New Roman" w:hAnsi="Times New Roman" w:cs="Times New Roman"/>
          <w:sz w:val="24"/>
          <w:szCs w:val="24"/>
        </w:rPr>
        <w:t xml:space="preserve"> podmiotom udzielającym świadczeń opieki zdrowotnej finansowanych ze środków publicznych, jednostkom organizacyjnym pomocy </w:t>
      </w:r>
      <w:r w:rsidR="002E7251">
        <w:rPr>
          <w:rFonts w:ascii="Times New Roman" w:hAnsi="Times New Roman" w:cs="Times New Roman"/>
          <w:sz w:val="24"/>
          <w:szCs w:val="24"/>
        </w:rPr>
        <w:lastRenderedPageBreak/>
        <w:t xml:space="preserve">społecznej, noclegowniom i ogrzewalniom, jednostkom organizacyjnym wspierania rodziny i systemu pieczy zastępczej, podmiotom systemu oświaty, szkolnictwa wyższego i nauki, żłobkom lub klubom dziecięcym, kościołom i innym związkom wyznaniowym, ochotniczym strażom pożarnym, placówkom zapewniającym </w:t>
      </w:r>
      <w:r w:rsidR="002E7251" w:rsidRPr="002E7251">
        <w:rPr>
          <w:rFonts w:ascii="Times New Roman" w:hAnsi="Times New Roman" w:cs="Times New Roman"/>
          <w:sz w:val="24"/>
          <w:szCs w:val="24"/>
        </w:rPr>
        <w:t>całodobową opiekę osobom niepełnosprawnym, przewlekle chorym lub osobom w podeszłym wieku</w:t>
      </w:r>
      <w:r w:rsidR="00E250FC">
        <w:rPr>
          <w:rFonts w:ascii="Times New Roman" w:hAnsi="Times New Roman" w:cs="Times New Roman"/>
          <w:sz w:val="24"/>
          <w:szCs w:val="24"/>
        </w:rPr>
        <w:t>, rodzinnym domom pomocy, centrom i klubom integracji społecznej, warsztatom terapii zajęciowej, spółdzielniom socjalnym</w:t>
      </w:r>
      <w:r w:rsidR="00AB2CF9">
        <w:rPr>
          <w:rFonts w:ascii="Times New Roman" w:hAnsi="Times New Roman" w:cs="Times New Roman"/>
          <w:sz w:val="24"/>
          <w:szCs w:val="24"/>
        </w:rPr>
        <w:t xml:space="preserve"> i związkom zawodowym</w:t>
      </w:r>
      <w:r w:rsidR="00AA6E66">
        <w:rPr>
          <w:rFonts w:ascii="Times New Roman" w:hAnsi="Times New Roman" w:cs="Times New Roman"/>
          <w:sz w:val="24"/>
          <w:szCs w:val="24"/>
        </w:rPr>
        <w:t>, placówkom kulturalnym i archiwalnym</w:t>
      </w:r>
      <w:r w:rsidR="00E250FC">
        <w:rPr>
          <w:rFonts w:ascii="Times New Roman" w:hAnsi="Times New Roman" w:cs="Times New Roman"/>
          <w:sz w:val="24"/>
          <w:szCs w:val="24"/>
        </w:rPr>
        <w:t>. Dodatkowo, przedmiotowa ustawa obejmie wsparciem jednostki samorządu terytorialnego oraz samorządowe zakłady budżetowe realizujące zadania z zakresu</w:t>
      </w:r>
      <w:r w:rsidR="0026061A">
        <w:rPr>
          <w:rFonts w:ascii="Times New Roman" w:hAnsi="Times New Roman" w:cs="Times New Roman"/>
          <w:sz w:val="24"/>
          <w:szCs w:val="24"/>
        </w:rPr>
        <w:t xml:space="preserve"> m.in.</w:t>
      </w:r>
      <w:r w:rsidR="00E250FC">
        <w:rPr>
          <w:rFonts w:ascii="Times New Roman" w:hAnsi="Times New Roman" w:cs="Times New Roman"/>
          <w:sz w:val="24"/>
          <w:szCs w:val="24"/>
        </w:rPr>
        <w:t>:</w:t>
      </w:r>
    </w:p>
    <w:p w14:paraId="6769B97B" w14:textId="77777777" w:rsidR="00370DAD" w:rsidRPr="00F26069" w:rsidRDefault="00370DAD" w:rsidP="001C4394">
      <w:pPr>
        <w:pStyle w:val="NormalnyWeb"/>
        <w:numPr>
          <w:ilvl w:val="0"/>
          <w:numId w:val="15"/>
        </w:numPr>
        <w:shd w:val="clear" w:color="auto" w:fill="FFFFFF"/>
        <w:spacing w:before="0" w:beforeAutospacing="0" w:after="0" w:afterAutospacing="0" w:line="360" w:lineRule="auto"/>
        <w:jc w:val="both"/>
        <w:rPr>
          <w:color w:val="242424"/>
        </w:rPr>
      </w:pPr>
      <w:r w:rsidRPr="00F26069">
        <w:rPr>
          <w:color w:val="242424"/>
        </w:rPr>
        <w:t>dróg, ulic, mostów, placów oraz organizacji ruchu drogowego,</w:t>
      </w:r>
    </w:p>
    <w:p w14:paraId="5DFD8876" w14:textId="58172E6C" w:rsidR="00370DAD" w:rsidRPr="00F26069" w:rsidRDefault="00370DAD" w:rsidP="001C4394">
      <w:pPr>
        <w:pStyle w:val="NormalnyWeb"/>
        <w:numPr>
          <w:ilvl w:val="0"/>
          <w:numId w:val="15"/>
        </w:numPr>
        <w:shd w:val="clear" w:color="auto" w:fill="FFFFFF"/>
        <w:spacing w:before="0" w:beforeAutospacing="0" w:after="0" w:afterAutospacing="0" w:line="360" w:lineRule="auto"/>
        <w:jc w:val="both"/>
        <w:rPr>
          <w:color w:val="242424"/>
        </w:rPr>
      </w:pPr>
      <w:r w:rsidRPr="00F26069">
        <w:rPr>
          <w:color w:val="242424"/>
        </w:rPr>
        <w:t>wodociągów i zaopatrzenia w wodę, kanalizacji, usuwania i oczyszczania ścieków komunalnych, utrzymania czystości i porządku oraz urządzeń sanitarnych, wysypisk i unieszkodliwiania odpadów komunalnych, zaopatrzenia w energię elektryczną i cieplną oraz gaz,</w:t>
      </w:r>
    </w:p>
    <w:p w14:paraId="6268FC78" w14:textId="23C12F0C" w:rsidR="00370DAD" w:rsidRPr="00F26069" w:rsidRDefault="00370DAD" w:rsidP="001C4394">
      <w:pPr>
        <w:pStyle w:val="NormalnyWeb"/>
        <w:numPr>
          <w:ilvl w:val="0"/>
          <w:numId w:val="15"/>
        </w:numPr>
        <w:shd w:val="clear" w:color="auto" w:fill="FFFFFF"/>
        <w:spacing w:before="0" w:beforeAutospacing="0" w:after="0" w:afterAutospacing="0" w:line="360" w:lineRule="auto"/>
        <w:jc w:val="both"/>
        <w:rPr>
          <w:color w:val="242424"/>
        </w:rPr>
      </w:pPr>
      <w:r w:rsidRPr="00F26069">
        <w:rPr>
          <w:color w:val="242424"/>
        </w:rPr>
        <w:t>transportu zbiorowego,</w:t>
      </w:r>
    </w:p>
    <w:p w14:paraId="70AA6D1E" w14:textId="7E696FA7" w:rsidR="00370DAD" w:rsidRPr="00F26069" w:rsidRDefault="00370DAD" w:rsidP="001C4394">
      <w:pPr>
        <w:pStyle w:val="NormalnyWeb"/>
        <w:numPr>
          <w:ilvl w:val="0"/>
          <w:numId w:val="15"/>
        </w:numPr>
        <w:shd w:val="clear" w:color="auto" w:fill="FFFFFF"/>
        <w:spacing w:before="0" w:beforeAutospacing="0" w:after="0" w:afterAutospacing="0" w:line="360" w:lineRule="auto"/>
        <w:jc w:val="both"/>
        <w:rPr>
          <w:color w:val="242424"/>
        </w:rPr>
      </w:pPr>
      <w:r w:rsidRPr="00F26069">
        <w:rPr>
          <w:color w:val="242424"/>
        </w:rPr>
        <w:t>ochrony zdrowia,</w:t>
      </w:r>
    </w:p>
    <w:p w14:paraId="55291CD2" w14:textId="54A93402" w:rsidR="00370DAD" w:rsidRPr="00F26069" w:rsidRDefault="00370DAD" w:rsidP="001C4394">
      <w:pPr>
        <w:pStyle w:val="NormalnyWeb"/>
        <w:numPr>
          <w:ilvl w:val="0"/>
          <w:numId w:val="15"/>
        </w:numPr>
        <w:shd w:val="clear" w:color="auto" w:fill="FFFFFF"/>
        <w:spacing w:before="0" w:beforeAutospacing="0" w:after="0" w:afterAutospacing="0" w:line="360" w:lineRule="auto"/>
        <w:jc w:val="both"/>
        <w:rPr>
          <w:color w:val="242424"/>
        </w:rPr>
      </w:pPr>
      <w:r w:rsidRPr="00F26069">
        <w:rPr>
          <w:color w:val="242424"/>
        </w:rPr>
        <w:t>pomocy społecznej, w tym ośrodków i zakładów opiekuńczych,</w:t>
      </w:r>
    </w:p>
    <w:p w14:paraId="2543871F" w14:textId="5289BD81" w:rsidR="00370DAD" w:rsidRPr="00F26069" w:rsidRDefault="00370DAD" w:rsidP="001C4394">
      <w:pPr>
        <w:pStyle w:val="NormalnyWeb"/>
        <w:numPr>
          <w:ilvl w:val="0"/>
          <w:numId w:val="15"/>
        </w:numPr>
        <w:shd w:val="clear" w:color="auto" w:fill="FFFFFF"/>
        <w:spacing w:before="0" w:beforeAutospacing="0" w:after="0" w:afterAutospacing="0" w:line="360" w:lineRule="auto"/>
        <w:jc w:val="both"/>
        <w:rPr>
          <w:color w:val="242424"/>
        </w:rPr>
      </w:pPr>
      <w:r w:rsidRPr="00F26069">
        <w:rPr>
          <w:color w:val="242424"/>
        </w:rPr>
        <w:t xml:space="preserve"> wspierania rodziny i systemu pieczy zastępczej,</w:t>
      </w:r>
    </w:p>
    <w:p w14:paraId="2AA37A25" w14:textId="2B8AC7BD" w:rsidR="00370DAD" w:rsidRPr="00F26069" w:rsidRDefault="00370DAD" w:rsidP="001C4394">
      <w:pPr>
        <w:pStyle w:val="NormalnyWeb"/>
        <w:numPr>
          <w:ilvl w:val="0"/>
          <w:numId w:val="15"/>
        </w:numPr>
        <w:shd w:val="clear" w:color="auto" w:fill="FFFFFF"/>
        <w:spacing w:before="0" w:beforeAutospacing="0" w:after="0" w:afterAutospacing="0" w:line="360" w:lineRule="auto"/>
        <w:jc w:val="both"/>
        <w:rPr>
          <w:color w:val="242424"/>
        </w:rPr>
      </w:pPr>
      <w:r w:rsidRPr="00F26069">
        <w:rPr>
          <w:color w:val="242424"/>
        </w:rPr>
        <w:t>budownictwa mieszkaniowego,</w:t>
      </w:r>
    </w:p>
    <w:p w14:paraId="5C9194AA" w14:textId="02194264" w:rsidR="00370DAD" w:rsidRPr="00F26069" w:rsidRDefault="00370DAD" w:rsidP="001C4394">
      <w:pPr>
        <w:pStyle w:val="NormalnyWeb"/>
        <w:numPr>
          <w:ilvl w:val="0"/>
          <w:numId w:val="15"/>
        </w:numPr>
        <w:shd w:val="clear" w:color="auto" w:fill="FFFFFF"/>
        <w:spacing w:before="0" w:beforeAutospacing="0" w:after="0" w:afterAutospacing="0" w:line="360" w:lineRule="auto"/>
        <w:jc w:val="both"/>
        <w:rPr>
          <w:color w:val="242424"/>
        </w:rPr>
      </w:pPr>
      <w:r w:rsidRPr="00F26069">
        <w:rPr>
          <w:color w:val="242424"/>
        </w:rPr>
        <w:t>edukacji publicznej,</w:t>
      </w:r>
    </w:p>
    <w:p w14:paraId="58011293" w14:textId="35781158" w:rsidR="00370DAD" w:rsidRPr="00F26069" w:rsidRDefault="00370DAD" w:rsidP="001C4394">
      <w:pPr>
        <w:pStyle w:val="NormalnyWeb"/>
        <w:numPr>
          <w:ilvl w:val="0"/>
          <w:numId w:val="15"/>
        </w:numPr>
        <w:shd w:val="clear" w:color="auto" w:fill="FFFFFF"/>
        <w:spacing w:before="0" w:beforeAutospacing="0" w:after="0" w:afterAutospacing="0" w:line="360" w:lineRule="auto"/>
        <w:jc w:val="both"/>
        <w:rPr>
          <w:color w:val="242424"/>
        </w:rPr>
      </w:pPr>
      <w:r w:rsidRPr="00F26069">
        <w:rPr>
          <w:color w:val="242424"/>
        </w:rPr>
        <w:t>kultury, w tym bibliotek i innych instytucji kultury oraz ochrony zabytków i opieki nad zabytkami,</w:t>
      </w:r>
    </w:p>
    <w:p w14:paraId="3C3282EB" w14:textId="39D32720" w:rsidR="00370DAD" w:rsidRPr="00F26069" w:rsidRDefault="00370DAD" w:rsidP="001C4394">
      <w:pPr>
        <w:pStyle w:val="NormalnyWeb"/>
        <w:numPr>
          <w:ilvl w:val="0"/>
          <w:numId w:val="15"/>
        </w:numPr>
        <w:shd w:val="clear" w:color="auto" w:fill="FFFFFF"/>
        <w:spacing w:before="0" w:beforeAutospacing="0" w:after="0" w:afterAutospacing="0" w:line="360" w:lineRule="auto"/>
        <w:jc w:val="both"/>
        <w:rPr>
          <w:color w:val="242424"/>
        </w:rPr>
      </w:pPr>
      <w:r w:rsidRPr="00F26069">
        <w:rPr>
          <w:color w:val="242424"/>
        </w:rPr>
        <w:t>porządku publicznego i bezpieczeństwa obywateli oraz ochrony przeciwpożarowej i przeciwpowodziowej, w tym wyposażenia i utrzymania magazynu przeciwpowodziowego,</w:t>
      </w:r>
    </w:p>
    <w:p w14:paraId="78D55253" w14:textId="124F4F6F" w:rsidR="00370DAD" w:rsidRPr="00F26069" w:rsidRDefault="00370DAD" w:rsidP="001C4394">
      <w:pPr>
        <w:pStyle w:val="NormalnyWeb"/>
        <w:numPr>
          <w:ilvl w:val="0"/>
          <w:numId w:val="15"/>
        </w:numPr>
        <w:shd w:val="clear" w:color="auto" w:fill="FFFFFF"/>
        <w:spacing w:before="0" w:beforeAutospacing="0" w:after="0" w:afterAutospacing="0" w:line="360" w:lineRule="auto"/>
        <w:jc w:val="both"/>
        <w:rPr>
          <w:color w:val="242424"/>
        </w:rPr>
      </w:pPr>
      <w:r w:rsidRPr="00F26069">
        <w:rPr>
          <w:color w:val="242424"/>
        </w:rPr>
        <w:t>utrzymania obiektów i urządzeń użyteczności publicznej oraz obiektów administracyjnych,</w:t>
      </w:r>
    </w:p>
    <w:p w14:paraId="2AC43C01" w14:textId="5576EEA8" w:rsidR="00370DAD" w:rsidRPr="00F26069" w:rsidRDefault="00370DAD" w:rsidP="001C4394">
      <w:pPr>
        <w:pStyle w:val="NormalnyWeb"/>
        <w:numPr>
          <w:ilvl w:val="0"/>
          <w:numId w:val="15"/>
        </w:numPr>
        <w:shd w:val="clear" w:color="auto" w:fill="FFFFFF"/>
        <w:spacing w:before="0" w:beforeAutospacing="0" w:after="0" w:afterAutospacing="0" w:line="360" w:lineRule="auto"/>
        <w:jc w:val="both"/>
        <w:rPr>
          <w:color w:val="242424"/>
        </w:rPr>
      </w:pPr>
      <w:r w:rsidRPr="00F26069">
        <w:rPr>
          <w:color w:val="242424"/>
        </w:rPr>
        <w:t>polityki prorodzinnej, w tym zapewnienia kobietom w ciąży opieki socjalnej, medycznej i prawnej,</w:t>
      </w:r>
    </w:p>
    <w:p w14:paraId="49806E22" w14:textId="21DF047B" w:rsidR="00132FBC" w:rsidRPr="00F24E22" w:rsidRDefault="00370DAD" w:rsidP="001C4394">
      <w:pPr>
        <w:pStyle w:val="NormalnyWeb"/>
        <w:numPr>
          <w:ilvl w:val="0"/>
          <w:numId w:val="15"/>
        </w:numPr>
        <w:shd w:val="clear" w:color="auto" w:fill="FFFFFF"/>
        <w:spacing w:before="0" w:beforeAutospacing="0" w:after="0" w:afterAutospacing="0" w:line="360" w:lineRule="auto"/>
        <w:jc w:val="both"/>
      </w:pPr>
      <w:r w:rsidRPr="00F26069">
        <w:rPr>
          <w:color w:val="242424"/>
        </w:rPr>
        <w:t>współpracy i działalności na rzecz organizacji pozarządowych oraz podmiotów pożytku publicznego i o wolontariacie</w:t>
      </w:r>
    </w:p>
    <w:p w14:paraId="31C2A64C" w14:textId="44DA8C45" w:rsidR="00132FBC" w:rsidRDefault="0084706D" w:rsidP="000717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Wsparciem objęci będą też przedsiębiorcy będący </w:t>
      </w:r>
      <w:r w:rsidRPr="0084706D">
        <w:rPr>
          <w:rFonts w:ascii="Times New Roman" w:hAnsi="Times New Roman" w:cs="Times New Roman"/>
          <w:sz w:val="24"/>
          <w:szCs w:val="24"/>
        </w:rPr>
        <w:t>mikroprzedsiębiorcą, małym lub średnim</w:t>
      </w:r>
      <w:r>
        <w:rPr>
          <w:rFonts w:ascii="Times New Roman" w:hAnsi="Times New Roman" w:cs="Times New Roman"/>
          <w:sz w:val="24"/>
          <w:szCs w:val="24"/>
        </w:rPr>
        <w:t xml:space="preserve"> </w:t>
      </w:r>
      <w:r w:rsidRPr="0084706D">
        <w:rPr>
          <w:rFonts w:ascii="Times New Roman" w:hAnsi="Times New Roman" w:cs="Times New Roman"/>
          <w:sz w:val="24"/>
          <w:szCs w:val="24"/>
        </w:rPr>
        <w:t>przedsiębiorcą w rozumieniu przepisów ustawy z dnia 6 marca 2018 r. - Prawo przedsiębiorców (Dz. U. z 2021 r. poz. 162 i 2105 oraz z 2022 r. poz. 24, 974 i 1570),</w:t>
      </w:r>
    </w:p>
    <w:p w14:paraId="139086C9" w14:textId="77777777" w:rsidR="005D08FB" w:rsidRPr="005D08FB" w:rsidRDefault="005D08FB" w:rsidP="005D08FB">
      <w:pPr>
        <w:spacing w:after="0" w:line="360" w:lineRule="auto"/>
        <w:jc w:val="both"/>
        <w:rPr>
          <w:rFonts w:ascii="Times New Roman" w:hAnsi="Times New Roman" w:cs="Times New Roman"/>
          <w:sz w:val="24"/>
          <w:szCs w:val="24"/>
        </w:rPr>
      </w:pPr>
      <w:r w:rsidRPr="005D08FB">
        <w:rPr>
          <w:rFonts w:ascii="Times New Roman" w:hAnsi="Times New Roman" w:cs="Times New Roman"/>
          <w:sz w:val="24"/>
          <w:szCs w:val="24"/>
        </w:rPr>
        <w:t>Jednocześnie wysokie ceny energii, z którymi borykają się obecnie odbiorcy, generują znaczące (niewspółmierne) zyski finansowe dla niektórych wytwórców energii elektrycznej. Na rynku dnia następnego ceny energii elektrycznej zależą od zmiennego kosztu energii marginalnej, tj. ostatniej i najdroższej jednostki potrzebnej do zaspokojenia zapotrzebowania. Biorąc pod uwagę rolę, jaką odgrywają ceny energii elektrycznej na rynku dnia następnego jako punkt odniesienia przy ustalaniu cen energii elektrycznej dla wszystkich pozostałych rynkowych ram czasowych, wzrost cen gazu i węgla na rynkach europejskich doprowadził do uzyskania nadmiarowego przychodów dla wytwórców o niższych kosztach marginalnych, wykorzystujących np. technologie OZE. Uzasadnionym jest zatem ograniczenie przychodów tychże wytwórców przy jednoczesnej redystrybucji uzyskanych środków do odbiorców końcowych. Ograniczenie przychodów będzie dotyczyć również przedsiębiorstw energetycznych zajmujących się obrotem energią elektryczną, ponieważ w ramach swojej działalności oni również mogą uzyskiwać nadmierne przychody. Wprowadzony w ten sposób mechanizm ograniczy negatywne efekty wysokich cen energii elektrycznej. Pośrednio może też wpłynąć na obniżenie cen energii elektrycznej lub przeciwdziałać jej wzrostowi.</w:t>
      </w:r>
    </w:p>
    <w:p w14:paraId="3E317ABA" w14:textId="041B07A1" w:rsidR="00AB2CF9" w:rsidRDefault="005D08FB" w:rsidP="000717D7">
      <w:pPr>
        <w:spacing w:after="0" w:line="360" w:lineRule="auto"/>
        <w:jc w:val="both"/>
        <w:rPr>
          <w:rFonts w:ascii="Times New Roman" w:hAnsi="Times New Roman" w:cs="Times New Roman"/>
          <w:sz w:val="24"/>
          <w:szCs w:val="24"/>
        </w:rPr>
      </w:pPr>
      <w:r w:rsidRPr="005D08FB">
        <w:rPr>
          <w:rFonts w:ascii="Times New Roman" w:hAnsi="Times New Roman" w:cs="Times New Roman"/>
          <w:sz w:val="24"/>
          <w:szCs w:val="24"/>
        </w:rPr>
        <w:t>Dodatkowo, szok cenowy powstały na rynku gazu spowodował spadek opłacalności produkcji m.in. wody amoniakalnej, w konsekwencji czego zakłady azotowe podjęły decyzję o wstrzymaniu lub ograniczeniu jej produkcji. Zasadne jest zatem przyjęcie przepisów, które zapewnią bezpieczne funkcjonowanie systemu elektroenergetycznego również w przypadku braku możliwości nabycia przez przedsiębiorstwa posiadające jednostki wytwórcze centralnie dysponowane wody amoniakalnej.</w:t>
      </w:r>
    </w:p>
    <w:p w14:paraId="6C637BE4" w14:textId="77777777" w:rsidR="0003278A" w:rsidRDefault="008C611B" w:rsidP="0003278A">
      <w:pPr>
        <w:widowControl w:val="0"/>
        <w:autoSpaceDE w:val="0"/>
        <w:autoSpaceDN w:val="0"/>
        <w:adjustRightInd w:val="0"/>
        <w:spacing w:after="0" w:line="360" w:lineRule="auto"/>
        <w:jc w:val="both"/>
        <w:rPr>
          <w:rFonts w:ascii="Times New Roman" w:hAnsi="Times New Roman" w:cs="Times New Roman"/>
          <w:b/>
          <w:bCs/>
          <w:sz w:val="24"/>
          <w:szCs w:val="24"/>
        </w:rPr>
      </w:pPr>
      <w:r w:rsidRPr="001D65D1">
        <w:rPr>
          <w:rFonts w:ascii="Times New Roman" w:hAnsi="Times New Roman" w:cs="Times New Roman"/>
          <w:b/>
          <w:bCs/>
          <w:sz w:val="24"/>
          <w:szCs w:val="24"/>
        </w:rPr>
        <w:t>2.</w:t>
      </w:r>
      <w:r w:rsidRPr="001D65D1">
        <w:rPr>
          <w:rFonts w:ascii="Times New Roman" w:hAnsi="Times New Roman" w:cs="Times New Roman"/>
          <w:sz w:val="24"/>
          <w:szCs w:val="24"/>
        </w:rPr>
        <w:t xml:space="preserve"> </w:t>
      </w:r>
      <w:r w:rsidRPr="001D65D1">
        <w:rPr>
          <w:rFonts w:ascii="Times New Roman" w:hAnsi="Times New Roman" w:cs="Times New Roman"/>
          <w:b/>
          <w:bCs/>
          <w:sz w:val="24"/>
          <w:szCs w:val="24"/>
        </w:rPr>
        <w:t>Aktualny stan prawny w dziedzinie, której dotyczy projekt ustawy</w:t>
      </w:r>
    </w:p>
    <w:p w14:paraId="558540DC" w14:textId="4653F95E" w:rsidR="00482FC5" w:rsidRPr="00C56F23" w:rsidRDefault="00482FC5" w:rsidP="00482FC5">
      <w:pPr>
        <w:spacing w:after="0" w:line="360" w:lineRule="auto"/>
        <w:jc w:val="both"/>
        <w:rPr>
          <w:rFonts w:ascii="Times New Roman" w:hAnsi="Times New Roman" w:cs="Times New Roman"/>
          <w:sz w:val="24"/>
          <w:szCs w:val="24"/>
        </w:rPr>
      </w:pPr>
      <w:r w:rsidRPr="00C56F23">
        <w:rPr>
          <w:rFonts w:ascii="Times New Roman" w:hAnsi="Times New Roman" w:cs="Times New Roman"/>
          <w:sz w:val="24"/>
          <w:szCs w:val="24"/>
        </w:rPr>
        <w:t>W aktualnym stanie prawnym t</w:t>
      </w:r>
      <w:r w:rsidR="00407BCF" w:rsidRPr="00C56F23">
        <w:rPr>
          <w:rFonts w:ascii="Times New Roman" w:hAnsi="Times New Roman" w:cs="Times New Roman"/>
          <w:sz w:val="24"/>
          <w:szCs w:val="24"/>
        </w:rPr>
        <w:t>aryfa</w:t>
      </w:r>
      <w:r w:rsidR="0086141F" w:rsidRPr="00C56F23">
        <w:rPr>
          <w:rFonts w:ascii="Times New Roman" w:hAnsi="Times New Roman" w:cs="Times New Roman"/>
          <w:sz w:val="24"/>
          <w:szCs w:val="24"/>
        </w:rPr>
        <w:t xml:space="preserve"> dla energii elektrycznej</w:t>
      </w:r>
      <w:r w:rsidR="00407BCF" w:rsidRPr="00C56F23">
        <w:rPr>
          <w:rFonts w:ascii="Times New Roman" w:hAnsi="Times New Roman" w:cs="Times New Roman"/>
          <w:sz w:val="24"/>
          <w:szCs w:val="24"/>
        </w:rPr>
        <w:t xml:space="preserve"> obowiązuje </w:t>
      </w:r>
      <w:r w:rsidR="0086141F" w:rsidRPr="00C56F23">
        <w:rPr>
          <w:rFonts w:ascii="Times New Roman" w:hAnsi="Times New Roman" w:cs="Times New Roman"/>
          <w:sz w:val="24"/>
          <w:szCs w:val="24"/>
        </w:rPr>
        <w:t>o</w:t>
      </w:r>
      <w:r w:rsidR="00407BCF" w:rsidRPr="00C56F23">
        <w:rPr>
          <w:rFonts w:ascii="Times New Roman" w:hAnsi="Times New Roman" w:cs="Times New Roman"/>
          <w:sz w:val="24"/>
          <w:szCs w:val="24"/>
        </w:rPr>
        <w:t>dbiorców z grup</w:t>
      </w:r>
      <w:r w:rsidR="009C6AF1">
        <w:rPr>
          <w:rFonts w:ascii="Times New Roman" w:hAnsi="Times New Roman" w:cs="Times New Roman"/>
          <w:sz w:val="24"/>
          <w:szCs w:val="24"/>
        </w:rPr>
        <w:t>y</w:t>
      </w:r>
      <w:r w:rsidR="00407BCF" w:rsidRPr="00C56F23">
        <w:rPr>
          <w:rFonts w:ascii="Times New Roman" w:hAnsi="Times New Roman" w:cs="Times New Roman"/>
          <w:sz w:val="24"/>
          <w:szCs w:val="24"/>
        </w:rPr>
        <w:t xml:space="preserve"> taryfow</w:t>
      </w:r>
      <w:r w:rsidR="009C6AF1">
        <w:rPr>
          <w:rFonts w:ascii="Times New Roman" w:hAnsi="Times New Roman" w:cs="Times New Roman"/>
          <w:sz w:val="24"/>
          <w:szCs w:val="24"/>
        </w:rPr>
        <w:t>ej</w:t>
      </w:r>
      <w:r w:rsidR="00407BCF" w:rsidRPr="00C56F23">
        <w:rPr>
          <w:rFonts w:ascii="Times New Roman" w:hAnsi="Times New Roman" w:cs="Times New Roman"/>
          <w:sz w:val="24"/>
          <w:szCs w:val="24"/>
        </w:rPr>
        <w:t xml:space="preserve"> G, niekorzystających</w:t>
      </w:r>
      <w:r w:rsidRPr="00C56F23">
        <w:rPr>
          <w:rFonts w:ascii="Times New Roman" w:hAnsi="Times New Roman" w:cs="Times New Roman"/>
          <w:sz w:val="24"/>
          <w:szCs w:val="24"/>
        </w:rPr>
        <w:t xml:space="preserve"> </w:t>
      </w:r>
      <w:r w:rsidR="00407BCF" w:rsidRPr="00C56F23">
        <w:rPr>
          <w:rFonts w:ascii="Times New Roman" w:hAnsi="Times New Roman" w:cs="Times New Roman"/>
          <w:sz w:val="24"/>
          <w:szCs w:val="24"/>
        </w:rPr>
        <w:t>z prawa wyboru sprzedawcy, przyłączonych do sieci</w:t>
      </w:r>
      <w:r w:rsidR="0086141F" w:rsidRPr="00C56F23">
        <w:rPr>
          <w:rFonts w:ascii="Times New Roman" w:hAnsi="Times New Roman" w:cs="Times New Roman"/>
          <w:sz w:val="24"/>
          <w:szCs w:val="24"/>
        </w:rPr>
        <w:t xml:space="preserve"> operatorów</w:t>
      </w:r>
      <w:r w:rsidR="008773FE" w:rsidRPr="00C56F23">
        <w:rPr>
          <w:rFonts w:ascii="Times New Roman" w:hAnsi="Times New Roman" w:cs="Times New Roman"/>
          <w:sz w:val="24"/>
          <w:szCs w:val="24"/>
        </w:rPr>
        <w:t xml:space="preserve"> dystrybucyjnych</w:t>
      </w:r>
      <w:r w:rsidR="00E873BE" w:rsidRPr="00C56F23">
        <w:rPr>
          <w:rFonts w:ascii="Times New Roman" w:hAnsi="Times New Roman" w:cs="Times New Roman"/>
          <w:sz w:val="24"/>
          <w:szCs w:val="24"/>
        </w:rPr>
        <w:t xml:space="preserve">, na których te przedsiębiorstwa obrotu pełnią funkcję </w:t>
      </w:r>
      <w:r w:rsidR="00FC23BE">
        <w:rPr>
          <w:rFonts w:ascii="Times New Roman" w:hAnsi="Times New Roman" w:cs="Times New Roman"/>
          <w:sz w:val="24"/>
          <w:szCs w:val="24"/>
        </w:rPr>
        <w:t xml:space="preserve">sprzedawców z </w:t>
      </w:r>
      <w:r w:rsidR="00896158">
        <w:rPr>
          <w:rFonts w:ascii="Times New Roman" w:hAnsi="Times New Roman" w:cs="Times New Roman"/>
          <w:sz w:val="24"/>
          <w:szCs w:val="24"/>
        </w:rPr>
        <w:t>u</w:t>
      </w:r>
      <w:r w:rsidR="00FC23BE">
        <w:rPr>
          <w:rFonts w:ascii="Times New Roman" w:hAnsi="Times New Roman" w:cs="Times New Roman"/>
          <w:sz w:val="24"/>
          <w:szCs w:val="24"/>
        </w:rPr>
        <w:t>rzędu.</w:t>
      </w:r>
      <w:r w:rsidRPr="00C56F23">
        <w:rPr>
          <w:rFonts w:ascii="Times New Roman" w:hAnsi="Times New Roman" w:cs="Times New Roman"/>
          <w:sz w:val="24"/>
          <w:szCs w:val="24"/>
        </w:rPr>
        <w:t xml:space="preserve"> Przedsiębiorstwa energetyczne samodzielnie ustalają taryfy i przedstawiają je Prezesowi URE do zatwierdzenia - odpowiednio do zakresu posiadanych koncesji (art. 47 ust 1 w związku z art. 45 ustawy </w:t>
      </w:r>
      <w:r w:rsidR="00CA5201">
        <w:rPr>
          <w:rFonts w:ascii="Times New Roman" w:hAnsi="Times New Roman" w:cs="Times New Roman"/>
          <w:sz w:val="24"/>
          <w:szCs w:val="24"/>
        </w:rPr>
        <w:t xml:space="preserve">z dnia 10 kwietnia 1997 r. </w:t>
      </w:r>
      <w:r w:rsidRPr="00C56F23">
        <w:rPr>
          <w:rFonts w:ascii="Times New Roman" w:hAnsi="Times New Roman" w:cs="Times New Roman"/>
          <w:sz w:val="24"/>
          <w:szCs w:val="24"/>
        </w:rPr>
        <w:t>- Prawo energetyczne</w:t>
      </w:r>
      <w:r w:rsidR="00CA5201">
        <w:rPr>
          <w:rFonts w:ascii="Times New Roman" w:hAnsi="Times New Roman" w:cs="Times New Roman"/>
          <w:sz w:val="24"/>
          <w:szCs w:val="24"/>
        </w:rPr>
        <w:t xml:space="preserve"> (</w:t>
      </w:r>
      <w:r w:rsidR="00CA5201" w:rsidRPr="00CA5201">
        <w:rPr>
          <w:rFonts w:ascii="Times New Roman" w:hAnsi="Times New Roman" w:cs="Times New Roman"/>
          <w:sz w:val="24"/>
          <w:szCs w:val="24"/>
        </w:rPr>
        <w:t xml:space="preserve">Dz. U. z 2022 r. poz. 1385, 1723), zwanej dalej „ustawą </w:t>
      </w:r>
      <w:r w:rsidR="00FD0A64">
        <w:rPr>
          <w:rFonts w:ascii="Times New Roman" w:hAnsi="Times New Roman" w:cs="Times New Roman"/>
          <w:sz w:val="24"/>
          <w:szCs w:val="24"/>
        </w:rPr>
        <w:t>–</w:t>
      </w:r>
      <w:r w:rsidR="00CA5201" w:rsidRPr="00CA5201">
        <w:rPr>
          <w:rFonts w:ascii="Times New Roman" w:hAnsi="Times New Roman" w:cs="Times New Roman"/>
          <w:sz w:val="24"/>
          <w:szCs w:val="24"/>
        </w:rPr>
        <w:t xml:space="preserve"> Prawo energetyczne”</w:t>
      </w:r>
      <w:r w:rsidRPr="00C56F23">
        <w:rPr>
          <w:rFonts w:ascii="Times New Roman" w:hAnsi="Times New Roman" w:cs="Times New Roman"/>
          <w:sz w:val="24"/>
          <w:szCs w:val="24"/>
        </w:rPr>
        <w:t xml:space="preserve">). Zgodnie z definicją zawartą w art. 3 pkt 17 ustawy – Prawo energetyczne, taryfa jest to zbiór cen i stawek opłat oraz warunków ich stosowania, opracowany przez przedsiębiorstwo </w:t>
      </w:r>
      <w:r w:rsidRPr="00C56F23">
        <w:rPr>
          <w:rFonts w:ascii="Times New Roman" w:hAnsi="Times New Roman" w:cs="Times New Roman"/>
          <w:sz w:val="24"/>
          <w:szCs w:val="24"/>
        </w:rPr>
        <w:lastRenderedPageBreak/>
        <w:t>energetyczne i wprowadzony jako obowiązujący dla określonych w nim odbiorców w trybie określonym ustawą.</w:t>
      </w:r>
    </w:p>
    <w:p w14:paraId="3BBBB8CD" w14:textId="53C453A6" w:rsidR="00482FC5" w:rsidRPr="00C56F23" w:rsidRDefault="00482FC5" w:rsidP="00B77F6D">
      <w:pPr>
        <w:spacing w:after="0" w:line="360" w:lineRule="auto"/>
        <w:jc w:val="both"/>
        <w:rPr>
          <w:rFonts w:ascii="Times New Roman" w:hAnsi="Times New Roman" w:cs="Times New Roman"/>
          <w:sz w:val="24"/>
          <w:szCs w:val="24"/>
        </w:rPr>
      </w:pPr>
      <w:r w:rsidRPr="00C56F23">
        <w:rPr>
          <w:rFonts w:ascii="Times New Roman" w:hAnsi="Times New Roman" w:cs="Times New Roman"/>
          <w:sz w:val="24"/>
          <w:szCs w:val="24"/>
        </w:rPr>
        <w:t xml:space="preserve">Prezes URE zatwierdza taryfę </w:t>
      </w:r>
      <w:r w:rsidR="00732788">
        <w:rPr>
          <w:rFonts w:ascii="Times New Roman" w:hAnsi="Times New Roman" w:cs="Times New Roman"/>
          <w:sz w:val="24"/>
          <w:szCs w:val="24"/>
        </w:rPr>
        <w:t>albo</w:t>
      </w:r>
      <w:r w:rsidRPr="00C56F23">
        <w:rPr>
          <w:rFonts w:ascii="Times New Roman" w:hAnsi="Times New Roman" w:cs="Times New Roman"/>
          <w:sz w:val="24"/>
          <w:szCs w:val="24"/>
        </w:rPr>
        <w:t xml:space="preserve"> odmawia jej zatwierdzenia w przypadku stwierdzenia niezgodności taryfy z zasadami i przepisami, o których mowa w art. 44</w:t>
      </w:r>
      <w:r w:rsidR="00A2204F">
        <w:rPr>
          <w:rFonts w:ascii="Times New Roman" w:hAnsi="Times New Roman" w:cs="Times New Roman"/>
          <w:sz w:val="24"/>
          <w:szCs w:val="24"/>
        </w:rPr>
        <w:t xml:space="preserve"> </w:t>
      </w:r>
      <w:r w:rsidRPr="00C56F23">
        <w:rPr>
          <w:rFonts w:ascii="Times New Roman" w:hAnsi="Times New Roman" w:cs="Times New Roman"/>
          <w:sz w:val="24"/>
          <w:szCs w:val="24"/>
        </w:rPr>
        <w:t>-</w:t>
      </w:r>
      <w:r w:rsidR="00A2204F">
        <w:rPr>
          <w:rFonts w:ascii="Times New Roman" w:hAnsi="Times New Roman" w:cs="Times New Roman"/>
          <w:sz w:val="24"/>
          <w:szCs w:val="24"/>
        </w:rPr>
        <w:t xml:space="preserve"> </w:t>
      </w:r>
      <w:r w:rsidRPr="00C56F23">
        <w:rPr>
          <w:rFonts w:ascii="Times New Roman" w:hAnsi="Times New Roman" w:cs="Times New Roman"/>
          <w:sz w:val="24"/>
          <w:szCs w:val="24"/>
        </w:rPr>
        <w:t>46 ustawy - Prawo energetyczne, a w szczególności w razie nieuzasadnionego zawyżenia prognoz. Taryfy powinny zapewniać pokrycie uzasadnionych kosztów działalności gospodarczej przedsiębiorstw energetycznych w zakresie wytwarzania, przetwarzania, przesyłania, dystrybucji lub obrotu paliwami gazowymi i energią, wraz z uzasadnionym zwrotem z kapitału zaangażowanego w tę działalność oraz ochronę interesów odbiorców przed nieuzasadnionym poziomem cen i stawek opłat (art. 45 ustawy – Prawo energetyczne). Koszty te są definiowane jako koszty niezbędne do wykonania zobowiązań powstałych w związku z prowadzoną przez przedsiębiorstwo energetyczne działalnością w zakresie wytwarzania, przetwarzania, magazynowania, przesyłania i dystrybucji, obrotu paliwami lub energią oraz przyjmowane do kalkulacji cen i stawek opłat ustalanych w taryfie w sposób ekonomicznie uzasadniony, z zachowaniem należytej staranności zmierzającej do ochrony interesów odbiorców (art. 3 pkt 21 ustawy – Prawo energetyczne) oraz potrzebą uzasadnionego zwrotu z kapitału zaangażowanego w tę działalność (art. 45 ust 1 pkt 1 ustawy – Prawo energetyczne). Oprócz zasady pokrywania kosztów uzasadnionych</w:t>
      </w:r>
      <w:r w:rsidR="00A2204F">
        <w:rPr>
          <w:rFonts w:ascii="Times New Roman" w:hAnsi="Times New Roman" w:cs="Times New Roman"/>
          <w:sz w:val="24"/>
          <w:szCs w:val="24"/>
        </w:rPr>
        <w:t>,</w:t>
      </w:r>
      <w:r w:rsidRPr="00C56F23">
        <w:rPr>
          <w:rFonts w:ascii="Times New Roman" w:hAnsi="Times New Roman" w:cs="Times New Roman"/>
          <w:sz w:val="24"/>
          <w:szCs w:val="24"/>
        </w:rPr>
        <w:t xml:space="preserve"> taryfa, aby mogła być zatwierdzona, musi spełniać inne wymagania określone w art. 44 ustawy – Prawo energetyczne, czyli być zgodna z zasadą „równoprawnego traktowania odbiorców” or</w:t>
      </w:r>
      <w:r w:rsidR="00805033" w:rsidRPr="00C56F23">
        <w:rPr>
          <w:rFonts w:ascii="Times New Roman" w:hAnsi="Times New Roman" w:cs="Times New Roman"/>
          <w:sz w:val="24"/>
          <w:szCs w:val="24"/>
        </w:rPr>
        <w:t>a</w:t>
      </w:r>
      <w:r w:rsidRPr="00C56F23">
        <w:rPr>
          <w:rFonts w:ascii="Times New Roman" w:hAnsi="Times New Roman" w:cs="Times New Roman"/>
          <w:sz w:val="24"/>
          <w:szCs w:val="24"/>
        </w:rPr>
        <w:t xml:space="preserve">z prowadzić do „eliminowania subsydiowania skrośnego”. </w:t>
      </w:r>
    </w:p>
    <w:p w14:paraId="04115CEF" w14:textId="022FA2D0" w:rsidR="00F9599E" w:rsidRPr="00C56F23" w:rsidRDefault="000207E8" w:rsidP="00F9599E">
      <w:pPr>
        <w:widowControl w:val="0"/>
        <w:autoSpaceDE w:val="0"/>
        <w:autoSpaceDN w:val="0"/>
        <w:adjustRightInd w:val="0"/>
        <w:spacing w:after="0" w:line="360" w:lineRule="auto"/>
        <w:jc w:val="both"/>
        <w:rPr>
          <w:rFonts w:ascii="Times New Roman" w:hAnsi="Times New Roman" w:cs="Times New Roman"/>
          <w:sz w:val="24"/>
          <w:szCs w:val="24"/>
        </w:rPr>
      </w:pPr>
      <w:r w:rsidRPr="00C56F23">
        <w:rPr>
          <w:rFonts w:ascii="Times New Roman" w:hAnsi="Times New Roman" w:cs="Times New Roman"/>
          <w:sz w:val="24"/>
          <w:szCs w:val="24"/>
        </w:rPr>
        <w:t>Prezes U</w:t>
      </w:r>
      <w:r w:rsidR="00F9599E" w:rsidRPr="00C56F23">
        <w:rPr>
          <w:rFonts w:ascii="Times New Roman" w:hAnsi="Times New Roman" w:cs="Times New Roman"/>
          <w:sz w:val="24"/>
          <w:szCs w:val="24"/>
        </w:rPr>
        <w:t>rzędu Regulacji Energetyki</w:t>
      </w:r>
      <w:r w:rsidR="00A2204F">
        <w:rPr>
          <w:rFonts w:ascii="Times New Roman" w:hAnsi="Times New Roman" w:cs="Times New Roman"/>
          <w:sz w:val="24"/>
          <w:szCs w:val="24"/>
        </w:rPr>
        <w:t>,</w:t>
      </w:r>
      <w:r w:rsidRPr="00C56F23">
        <w:rPr>
          <w:rFonts w:ascii="Times New Roman" w:hAnsi="Times New Roman" w:cs="Times New Roman"/>
          <w:sz w:val="24"/>
          <w:szCs w:val="24"/>
        </w:rPr>
        <w:t xml:space="preserve"> analizując</w:t>
      </w:r>
      <w:r w:rsidR="00A90983" w:rsidRPr="00C56F23">
        <w:rPr>
          <w:rFonts w:ascii="Times New Roman" w:hAnsi="Times New Roman" w:cs="Times New Roman"/>
          <w:sz w:val="24"/>
          <w:szCs w:val="24"/>
        </w:rPr>
        <w:t xml:space="preserve"> </w:t>
      </w:r>
      <w:r w:rsidRPr="00C56F23">
        <w:rPr>
          <w:rFonts w:ascii="Times New Roman" w:hAnsi="Times New Roman" w:cs="Times New Roman"/>
          <w:sz w:val="24"/>
          <w:szCs w:val="24"/>
        </w:rPr>
        <w:t>przedłożone taryfy</w:t>
      </w:r>
      <w:r w:rsidR="00805033" w:rsidRPr="00C56F23">
        <w:rPr>
          <w:rFonts w:ascii="Times New Roman" w:hAnsi="Times New Roman" w:cs="Times New Roman"/>
          <w:sz w:val="24"/>
          <w:szCs w:val="24"/>
        </w:rPr>
        <w:t xml:space="preserve"> dla przedsiębiorstw obrotu, </w:t>
      </w:r>
      <w:r w:rsidRPr="00C56F23">
        <w:rPr>
          <w:rFonts w:ascii="Times New Roman" w:hAnsi="Times New Roman" w:cs="Times New Roman"/>
          <w:sz w:val="24"/>
          <w:szCs w:val="24"/>
        </w:rPr>
        <w:t>decydując o ich zatwierdzeniu</w:t>
      </w:r>
      <w:r w:rsidR="00A2204F">
        <w:rPr>
          <w:rFonts w:ascii="Times New Roman" w:hAnsi="Times New Roman" w:cs="Times New Roman"/>
          <w:sz w:val="24"/>
          <w:szCs w:val="24"/>
        </w:rPr>
        <w:t>,</w:t>
      </w:r>
      <w:r w:rsidRPr="00C56F23">
        <w:rPr>
          <w:rFonts w:ascii="Times New Roman" w:hAnsi="Times New Roman" w:cs="Times New Roman"/>
          <w:sz w:val="24"/>
          <w:szCs w:val="24"/>
        </w:rPr>
        <w:t xml:space="preserve"> sprawdza, aby ich poziom był uzasadniony i</w:t>
      </w:r>
      <w:r w:rsidR="00B77F6D" w:rsidRPr="00C56F23">
        <w:rPr>
          <w:rFonts w:ascii="Times New Roman" w:hAnsi="Times New Roman" w:cs="Times New Roman"/>
          <w:sz w:val="24"/>
          <w:szCs w:val="24"/>
        </w:rPr>
        <w:t xml:space="preserve"> </w:t>
      </w:r>
      <w:r w:rsidRPr="00C56F23">
        <w:rPr>
          <w:rFonts w:ascii="Times New Roman" w:hAnsi="Times New Roman" w:cs="Times New Roman"/>
          <w:sz w:val="24"/>
          <w:szCs w:val="24"/>
        </w:rPr>
        <w:t xml:space="preserve">równoważył interesy </w:t>
      </w:r>
      <w:r w:rsidR="00805033" w:rsidRPr="00C56F23">
        <w:rPr>
          <w:rFonts w:ascii="Times New Roman" w:hAnsi="Times New Roman" w:cs="Times New Roman"/>
          <w:sz w:val="24"/>
          <w:szCs w:val="24"/>
        </w:rPr>
        <w:t>odbiorców</w:t>
      </w:r>
      <w:r w:rsidRPr="00C56F23">
        <w:rPr>
          <w:rFonts w:ascii="Times New Roman" w:hAnsi="Times New Roman" w:cs="Times New Roman"/>
          <w:sz w:val="24"/>
          <w:szCs w:val="24"/>
        </w:rPr>
        <w:t xml:space="preserve"> i sprzedawców</w:t>
      </w:r>
      <w:r w:rsidR="00F9599E" w:rsidRPr="00C56F23">
        <w:rPr>
          <w:rFonts w:ascii="Times New Roman" w:hAnsi="Times New Roman" w:cs="Times New Roman"/>
          <w:sz w:val="24"/>
          <w:szCs w:val="24"/>
        </w:rPr>
        <w:t xml:space="preserve"> energii</w:t>
      </w:r>
      <w:r w:rsidR="00A2204F">
        <w:rPr>
          <w:rFonts w:ascii="Times New Roman" w:hAnsi="Times New Roman" w:cs="Times New Roman"/>
          <w:sz w:val="24"/>
          <w:szCs w:val="24"/>
        </w:rPr>
        <w:t xml:space="preserve">, przy uwzględnieniu </w:t>
      </w:r>
      <w:r w:rsidRPr="00C56F23">
        <w:rPr>
          <w:rFonts w:ascii="Times New Roman" w:hAnsi="Times New Roman" w:cs="Times New Roman"/>
          <w:sz w:val="24"/>
          <w:szCs w:val="24"/>
        </w:rPr>
        <w:t>aktualn</w:t>
      </w:r>
      <w:r w:rsidR="00A2204F">
        <w:rPr>
          <w:rFonts w:ascii="Times New Roman" w:hAnsi="Times New Roman" w:cs="Times New Roman"/>
          <w:sz w:val="24"/>
          <w:szCs w:val="24"/>
        </w:rPr>
        <w:t>ych</w:t>
      </w:r>
      <w:r w:rsidRPr="00C56F23">
        <w:rPr>
          <w:rFonts w:ascii="Times New Roman" w:hAnsi="Times New Roman" w:cs="Times New Roman"/>
          <w:sz w:val="24"/>
          <w:szCs w:val="24"/>
        </w:rPr>
        <w:t xml:space="preserve"> warunk</w:t>
      </w:r>
      <w:r w:rsidR="00A2204F">
        <w:rPr>
          <w:rFonts w:ascii="Times New Roman" w:hAnsi="Times New Roman" w:cs="Times New Roman"/>
          <w:sz w:val="24"/>
          <w:szCs w:val="24"/>
        </w:rPr>
        <w:t>ów</w:t>
      </w:r>
      <w:r w:rsidRPr="00C56F23">
        <w:rPr>
          <w:rFonts w:ascii="Times New Roman" w:hAnsi="Times New Roman" w:cs="Times New Roman"/>
          <w:sz w:val="24"/>
          <w:szCs w:val="24"/>
        </w:rPr>
        <w:t xml:space="preserve"> funkcjonowania</w:t>
      </w:r>
      <w:r w:rsidR="00B77F6D" w:rsidRPr="00C56F23">
        <w:rPr>
          <w:rFonts w:ascii="Times New Roman" w:hAnsi="Times New Roman" w:cs="Times New Roman"/>
          <w:sz w:val="24"/>
          <w:szCs w:val="24"/>
        </w:rPr>
        <w:t xml:space="preserve"> </w:t>
      </w:r>
      <w:r w:rsidRPr="00C56F23">
        <w:rPr>
          <w:rFonts w:ascii="Times New Roman" w:hAnsi="Times New Roman" w:cs="Times New Roman"/>
          <w:sz w:val="24"/>
          <w:szCs w:val="24"/>
        </w:rPr>
        <w:t>rynku i sytuacj</w:t>
      </w:r>
      <w:r w:rsidR="00A2204F">
        <w:rPr>
          <w:rFonts w:ascii="Times New Roman" w:hAnsi="Times New Roman" w:cs="Times New Roman"/>
          <w:sz w:val="24"/>
          <w:szCs w:val="24"/>
        </w:rPr>
        <w:t>i</w:t>
      </w:r>
      <w:r w:rsidRPr="00C56F23">
        <w:rPr>
          <w:rFonts w:ascii="Times New Roman" w:hAnsi="Times New Roman" w:cs="Times New Roman"/>
          <w:sz w:val="24"/>
          <w:szCs w:val="24"/>
        </w:rPr>
        <w:t xml:space="preserve"> ekonomiczn</w:t>
      </w:r>
      <w:r w:rsidR="00A2204F">
        <w:rPr>
          <w:rFonts w:ascii="Times New Roman" w:hAnsi="Times New Roman" w:cs="Times New Roman"/>
          <w:sz w:val="24"/>
          <w:szCs w:val="24"/>
        </w:rPr>
        <w:t>ej</w:t>
      </w:r>
      <w:r w:rsidRPr="00C56F23">
        <w:rPr>
          <w:rFonts w:ascii="Times New Roman" w:hAnsi="Times New Roman" w:cs="Times New Roman"/>
          <w:sz w:val="24"/>
          <w:szCs w:val="24"/>
        </w:rPr>
        <w:t xml:space="preserve"> </w:t>
      </w:r>
      <w:r w:rsidR="00805033" w:rsidRPr="00C56F23">
        <w:rPr>
          <w:rFonts w:ascii="Times New Roman" w:hAnsi="Times New Roman" w:cs="Times New Roman"/>
          <w:sz w:val="24"/>
          <w:szCs w:val="24"/>
        </w:rPr>
        <w:t>sprzedawców</w:t>
      </w:r>
      <w:r w:rsidRPr="00C56F23">
        <w:rPr>
          <w:rFonts w:ascii="Times New Roman" w:hAnsi="Times New Roman" w:cs="Times New Roman"/>
          <w:sz w:val="24"/>
          <w:szCs w:val="24"/>
        </w:rPr>
        <w:t xml:space="preserve">. </w:t>
      </w:r>
    </w:p>
    <w:p w14:paraId="2D78FA83" w14:textId="0CDC3D77" w:rsidR="00FD1C5A" w:rsidRPr="00C56F23" w:rsidRDefault="00FC23BE" w:rsidP="00854061">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Przepisy ustawy</w:t>
      </w:r>
      <w:r w:rsidR="00854061" w:rsidRPr="00C56F23">
        <w:rPr>
          <w:rFonts w:ascii="Times New Roman" w:hAnsi="Times New Roman" w:cs="Times New Roman"/>
          <w:sz w:val="24"/>
          <w:szCs w:val="24"/>
        </w:rPr>
        <w:t xml:space="preserve"> </w:t>
      </w:r>
      <w:r w:rsidR="00896158">
        <w:rPr>
          <w:rFonts w:ascii="Times New Roman" w:hAnsi="Times New Roman" w:cs="Times New Roman"/>
          <w:sz w:val="24"/>
          <w:szCs w:val="24"/>
        </w:rPr>
        <w:t xml:space="preserve">- </w:t>
      </w:r>
      <w:r w:rsidR="00854061" w:rsidRPr="00C56F23">
        <w:rPr>
          <w:rFonts w:ascii="Times New Roman" w:hAnsi="Times New Roman" w:cs="Times New Roman"/>
          <w:sz w:val="24"/>
          <w:szCs w:val="24"/>
        </w:rPr>
        <w:t>Prawo energetyczne</w:t>
      </w:r>
      <w:r>
        <w:rPr>
          <w:rFonts w:ascii="Times New Roman" w:hAnsi="Times New Roman" w:cs="Times New Roman"/>
          <w:sz w:val="24"/>
          <w:szCs w:val="24"/>
        </w:rPr>
        <w:t xml:space="preserve"> w art. 49</w:t>
      </w:r>
      <w:r w:rsidR="00854061" w:rsidRPr="00C56F23">
        <w:rPr>
          <w:rFonts w:ascii="Times New Roman" w:hAnsi="Times New Roman" w:cs="Times New Roman"/>
          <w:sz w:val="24"/>
          <w:szCs w:val="24"/>
        </w:rPr>
        <w:t xml:space="preserve"> określa</w:t>
      </w:r>
      <w:r>
        <w:rPr>
          <w:rFonts w:ascii="Times New Roman" w:hAnsi="Times New Roman" w:cs="Times New Roman"/>
          <w:sz w:val="24"/>
          <w:szCs w:val="24"/>
        </w:rPr>
        <w:t>ją</w:t>
      </w:r>
      <w:r w:rsidR="00854061" w:rsidRPr="00C56F23">
        <w:rPr>
          <w:rFonts w:ascii="Times New Roman" w:hAnsi="Times New Roman" w:cs="Times New Roman"/>
          <w:sz w:val="24"/>
          <w:szCs w:val="24"/>
        </w:rPr>
        <w:t xml:space="preserve"> zasady, na jakich Prezes URE może dokonać zwolnienia przedsiębiorstw energetycznych z obowiązku przedkładania taryf do zatwierdzenia tj. jeżeli stwierdzi, że przedsiębiorstwo energetyczne działa w warunkach konkurencji, kierując się kryterium m.in. liczby uczestników i wielkością ich udziałów w rynku, przejrzystością struktury i zasad funkcjonowania rynku, istniejącymi barierami dostępu do rynku, równoprawnym traktowaniem uczestników rynku, dostępem do informacji rynkowej, skutecznością kontroli i zabezpieczeniami przed wykorzystywaniem pozycji ograniczającej konkurencję, dostępnością do wysoko wydajnych technologii. </w:t>
      </w:r>
    </w:p>
    <w:p w14:paraId="101C47F4" w14:textId="4F32DD1A" w:rsidR="00FD1C5A" w:rsidRPr="00C56F23" w:rsidRDefault="00FD1C5A" w:rsidP="00854061">
      <w:pPr>
        <w:widowControl w:val="0"/>
        <w:autoSpaceDE w:val="0"/>
        <w:autoSpaceDN w:val="0"/>
        <w:adjustRightInd w:val="0"/>
        <w:spacing w:after="0" w:line="360" w:lineRule="auto"/>
        <w:jc w:val="both"/>
        <w:rPr>
          <w:rFonts w:ascii="Times New Roman" w:hAnsi="Times New Roman" w:cs="Times New Roman"/>
          <w:sz w:val="24"/>
          <w:szCs w:val="24"/>
        </w:rPr>
      </w:pPr>
      <w:r w:rsidRPr="00C56F23">
        <w:rPr>
          <w:rFonts w:ascii="Times New Roman" w:hAnsi="Times New Roman" w:cs="Times New Roman"/>
          <w:sz w:val="24"/>
          <w:szCs w:val="24"/>
        </w:rPr>
        <w:t>Prezes Urzędu Regulacji Energetyki</w:t>
      </w:r>
      <w:r w:rsidR="00854061" w:rsidRPr="00C56F23">
        <w:rPr>
          <w:rFonts w:ascii="Times New Roman" w:hAnsi="Times New Roman" w:cs="Times New Roman"/>
          <w:sz w:val="24"/>
          <w:szCs w:val="24"/>
        </w:rPr>
        <w:t xml:space="preserve"> </w:t>
      </w:r>
      <w:r w:rsidRPr="00C56F23">
        <w:rPr>
          <w:rFonts w:ascii="Times New Roman" w:hAnsi="Times New Roman" w:cs="Times New Roman"/>
          <w:sz w:val="24"/>
          <w:szCs w:val="24"/>
        </w:rPr>
        <w:t xml:space="preserve">od 2008 roku </w:t>
      </w:r>
      <w:r w:rsidR="00E86D00">
        <w:rPr>
          <w:rFonts w:ascii="Times New Roman" w:hAnsi="Times New Roman" w:cs="Times New Roman"/>
          <w:sz w:val="24"/>
          <w:szCs w:val="24"/>
        </w:rPr>
        <w:t>w drodze decyzji</w:t>
      </w:r>
      <w:r w:rsidRPr="00C56F23">
        <w:rPr>
          <w:rFonts w:ascii="Times New Roman" w:hAnsi="Times New Roman" w:cs="Times New Roman"/>
          <w:sz w:val="24"/>
          <w:szCs w:val="24"/>
        </w:rPr>
        <w:t xml:space="preserve"> administracy</w:t>
      </w:r>
      <w:r w:rsidR="00E86D00">
        <w:rPr>
          <w:rFonts w:ascii="Times New Roman" w:hAnsi="Times New Roman" w:cs="Times New Roman"/>
          <w:sz w:val="24"/>
          <w:szCs w:val="24"/>
        </w:rPr>
        <w:t>jnych</w:t>
      </w:r>
      <w:r w:rsidRPr="00C56F23">
        <w:rPr>
          <w:rFonts w:ascii="Times New Roman" w:hAnsi="Times New Roman" w:cs="Times New Roman"/>
          <w:sz w:val="24"/>
          <w:szCs w:val="24"/>
        </w:rPr>
        <w:t xml:space="preserve"> zwolnił </w:t>
      </w:r>
      <w:r w:rsidR="00854061" w:rsidRPr="00C56F23">
        <w:rPr>
          <w:rFonts w:ascii="Times New Roman" w:hAnsi="Times New Roman" w:cs="Times New Roman"/>
          <w:sz w:val="24"/>
          <w:szCs w:val="24"/>
        </w:rPr>
        <w:lastRenderedPageBreak/>
        <w:t xml:space="preserve">z obowiązku przedkładania taryf do zatwierdzenia przedsiębiorstwa obrotu w zakresie segmentów odbiorców przemysłowych i biznesowych (grupy A, B i C), natomiast </w:t>
      </w:r>
      <w:r w:rsidRPr="00C56F23">
        <w:rPr>
          <w:rFonts w:ascii="Times New Roman" w:hAnsi="Times New Roman" w:cs="Times New Roman"/>
          <w:sz w:val="24"/>
          <w:szCs w:val="24"/>
        </w:rPr>
        <w:t>utrzymał</w:t>
      </w:r>
      <w:r w:rsidR="00854061" w:rsidRPr="00C56F23">
        <w:rPr>
          <w:rFonts w:ascii="Times New Roman" w:hAnsi="Times New Roman" w:cs="Times New Roman"/>
          <w:sz w:val="24"/>
          <w:szCs w:val="24"/>
        </w:rPr>
        <w:t xml:space="preserve"> obowiązek przedkładania do zatwierdzenia taryf dla gospodarstw domowych (grupa G), niekorzystających z prawa wyboru sprzedawcy.</w:t>
      </w:r>
    </w:p>
    <w:p w14:paraId="2A6259F4" w14:textId="7253D5BF" w:rsidR="00805033" w:rsidRDefault="00FD1C5A" w:rsidP="0003278A">
      <w:pPr>
        <w:widowControl w:val="0"/>
        <w:autoSpaceDE w:val="0"/>
        <w:autoSpaceDN w:val="0"/>
        <w:adjustRightInd w:val="0"/>
        <w:spacing w:after="0" w:line="360" w:lineRule="auto"/>
        <w:jc w:val="both"/>
        <w:rPr>
          <w:rFonts w:ascii="Times New Roman" w:hAnsi="Times New Roman" w:cs="Times New Roman"/>
          <w:sz w:val="24"/>
          <w:szCs w:val="24"/>
        </w:rPr>
      </w:pPr>
      <w:r w:rsidRPr="00C56F23">
        <w:rPr>
          <w:rFonts w:ascii="Times New Roman" w:hAnsi="Times New Roman" w:cs="Times New Roman"/>
          <w:sz w:val="24"/>
          <w:szCs w:val="24"/>
        </w:rPr>
        <w:t>W aktualnym stanie prawnym obowiązek przedkładania taryf dotyczy największych przedsiębiorstw energetycznych wykonujących zadania sprzedawcy z urzędu, wykonujących działalność gospodarczą w zakresie obrotu energią elektryczną na potrzeby odbiorców grupy taryfowej G oraz przedsiębiorstw energetycznych wykonujących działalność gospodarczą w zakresie obrotu energią elektryczną na potrzeby grupy taryfowej G, wchodzące w skład przedsiębiorstwa zintegrowanego pionowo, o którym mowa w art. 9d ust. 7 ustawy Prawo energetyczne tzw. małych przedsiębiorstw zintegrowanych pionowo.</w:t>
      </w:r>
      <w:r w:rsidR="007716B9" w:rsidRPr="00C56F23">
        <w:rPr>
          <w:rFonts w:ascii="Times New Roman" w:hAnsi="Times New Roman" w:cs="Times New Roman"/>
          <w:sz w:val="24"/>
          <w:szCs w:val="24"/>
        </w:rPr>
        <w:t xml:space="preserve"> </w:t>
      </w:r>
      <w:r w:rsidR="00854061" w:rsidRPr="00C56F23">
        <w:rPr>
          <w:rFonts w:ascii="Times New Roman" w:hAnsi="Times New Roman" w:cs="Times New Roman"/>
          <w:sz w:val="24"/>
          <w:szCs w:val="24"/>
        </w:rPr>
        <w:t xml:space="preserve">Wyjątek dotyczy dwóch </w:t>
      </w:r>
      <w:r w:rsidR="007716B9" w:rsidRPr="00C56F23">
        <w:rPr>
          <w:rFonts w:ascii="Times New Roman" w:hAnsi="Times New Roman" w:cs="Times New Roman"/>
          <w:sz w:val="24"/>
          <w:szCs w:val="24"/>
        </w:rPr>
        <w:t xml:space="preserve">przedsiębiorstw wykonujących zadania sprzedawcy z urzędu, wykonujących działalność gospodarczą w zakresie obrotu energią elektryczną na potrzeby odbiorców grupy taryfowej G tj. </w:t>
      </w:r>
      <w:r w:rsidR="00854061" w:rsidRPr="00C56F23">
        <w:rPr>
          <w:rFonts w:ascii="Times New Roman" w:hAnsi="Times New Roman" w:cs="Times New Roman"/>
          <w:sz w:val="24"/>
          <w:szCs w:val="24"/>
        </w:rPr>
        <w:t xml:space="preserve">E.ON oraz Tauron Sprzedaż GZE, które w wyniku </w:t>
      </w:r>
      <w:r w:rsidR="00E86D00">
        <w:rPr>
          <w:rFonts w:ascii="Times New Roman" w:hAnsi="Times New Roman" w:cs="Times New Roman"/>
          <w:sz w:val="24"/>
          <w:szCs w:val="24"/>
        </w:rPr>
        <w:t>orzeczeń sądowych</w:t>
      </w:r>
      <w:r w:rsidR="00854061" w:rsidRPr="00C56F23">
        <w:rPr>
          <w:rFonts w:ascii="Times New Roman" w:hAnsi="Times New Roman" w:cs="Times New Roman"/>
          <w:sz w:val="24"/>
          <w:szCs w:val="24"/>
        </w:rPr>
        <w:t xml:space="preserve"> </w:t>
      </w:r>
      <w:r w:rsidR="007716B9" w:rsidRPr="00C56F23">
        <w:rPr>
          <w:rFonts w:ascii="Times New Roman" w:hAnsi="Times New Roman" w:cs="Times New Roman"/>
          <w:sz w:val="24"/>
          <w:szCs w:val="24"/>
        </w:rPr>
        <w:t xml:space="preserve">aktualnie nie </w:t>
      </w:r>
      <w:r w:rsidR="00854061" w:rsidRPr="00C56F23">
        <w:rPr>
          <w:rFonts w:ascii="Times New Roman" w:hAnsi="Times New Roman" w:cs="Times New Roman"/>
          <w:sz w:val="24"/>
          <w:szCs w:val="24"/>
        </w:rPr>
        <w:t xml:space="preserve"> przedkłada</w:t>
      </w:r>
      <w:r w:rsidR="007716B9" w:rsidRPr="00C56F23">
        <w:rPr>
          <w:rFonts w:ascii="Times New Roman" w:hAnsi="Times New Roman" w:cs="Times New Roman"/>
          <w:sz w:val="24"/>
          <w:szCs w:val="24"/>
        </w:rPr>
        <w:t>ją</w:t>
      </w:r>
      <w:r w:rsidR="00854061" w:rsidRPr="00C56F23">
        <w:rPr>
          <w:rFonts w:ascii="Times New Roman" w:hAnsi="Times New Roman" w:cs="Times New Roman"/>
          <w:sz w:val="24"/>
          <w:szCs w:val="24"/>
        </w:rPr>
        <w:t xml:space="preserve"> taryf do zatwierdzenia Prezesowi URE dla grupy taryfowej </w:t>
      </w:r>
      <w:r w:rsidR="00EA6E63" w:rsidRPr="00C56F23">
        <w:rPr>
          <w:rFonts w:ascii="Times New Roman" w:hAnsi="Times New Roman" w:cs="Times New Roman"/>
          <w:sz w:val="24"/>
          <w:szCs w:val="24"/>
        </w:rPr>
        <w:t>G.</w:t>
      </w:r>
    </w:p>
    <w:p w14:paraId="153BEB03" w14:textId="4806742D" w:rsidR="00BE2586" w:rsidRDefault="00BE2586" w:rsidP="00337514">
      <w:pPr>
        <w:widowControl w:val="0"/>
        <w:autoSpaceDE w:val="0"/>
        <w:autoSpaceDN w:val="0"/>
        <w:adjustRightInd w:val="0"/>
        <w:spacing w:after="0" w:line="360" w:lineRule="auto"/>
        <w:jc w:val="both"/>
        <w:rPr>
          <w:rFonts w:ascii="Times New Roman" w:hAnsi="Times New Roman" w:cs="Times New Roman"/>
          <w:sz w:val="24"/>
          <w:szCs w:val="24"/>
        </w:rPr>
      </w:pPr>
      <w:r w:rsidRPr="00337514">
        <w:rPr>
          <w:rFonts w:ascii="Times New Roman" w:hAnsi="Times New Roman" w:cs="Times New Roman"/>
          <w:sz w:val="24"/>
          <w:szCs w:val="24"/>
        </w:rPr>
        <w:t xml:space="preserve">Ustawa </w:t>
      </w:r>
      <w:bookmarkStart w:id="2" w:name="_Hlk116304652"/>
      <w:r w:rsidR="005565FB" w:rsidRPr="00337514">
        <w:rPr>
          <w:rFonts w:ascii="Times New Roman" w:hAnsi="Times New Roman" w:cs="Times New Roman"/>
          <w:sz w:val="24"/>
          <w:szCs w:val="24"/>
        </w:rPr>
        <w:t>z</w:t>
      </w:r>
      <w:r w:rsidRPr="00337514">
        <w:rPr>
          <w:rFonts w:ascii="Times New Roman" w:hAnsi="Times New Roman" w:cs="Times New Roman"/>
          <w:sz w:val="24"/>
          <w:szCs w:val="24"/>
        </w:rPr>
        <w:t xml:space="preserve"> dni</w:t>
      </w:r>
      <w:r w:rsidR="005565FB" w:rsidRPr="00337514">
        <w:rPr>
          <w:rFonts w:ascii="Times New Roman" w:hAnsi="Times New Roman" w:cs="Times New Roman"/>
          <w:sz w:val="24"/>
          <w:szCs w:val="24"/>
        </w:rPr>
        <w:t>a 7 października 2022 r.</w:t>
      </w:r>
      <w:r w:rsidRPr="00337514">
        <w:rPr>
          <w:rFonts w:ascii="Times New Roman" w:hAnsi="Times New Roman" w:cs="Times New Roman"/>
          <w:sz w:val="24"/>
          <w:szCs w:val="24"/>
        </w:rPr>
        <w:t xml:space="preserve"> </w:t>
      </w:r>
      <w:r w:rsidR="005565FB" w:rsidRPr="00337514">
        <w:rPr>
          <w:rFonts w:ascii="Times New Roman" w:hAnsi="Times New Roman" w:cs="Times New Roman"/>
          <w:sz w:val="24"/>
          <w:szCs w:val="24"/>
        </w:rPr>
        <w:t>o szczególnych rozwiązaniach służących ochronie odbiorców energii elektrycznej w 2023 roku w związku z sytuacją na rynku energii elektrycznej</w:t>
      </w:r>
      <w:r w:rsidR="00337514" w:rsidRPr="00337514">
        <w:rPr>
          <w:rFonts w:ascii="Times New Roman" w:hAnsi="Times New Roman" w:cs="Times New Roman"/>
          <w:sz w:val="24"/>
          <w:szCs w:val="24"/>
        </w:rPr>
        <w:t xml:space="preserve"> </w:t>
      </w:r>
      <w:bookmarkEnd w:id="2"/>
      <w:r w:rsidR="00337514" w:rsidRPr="00337514">
        <w:rPr>
          <w:rFonts w:ascii="Times New Roman" w:hAnsi="Times New Roman" w:cs="Times New Roman"/>
          <w:sz w:val="24"/>
          <w:szCs w:val="24"/>
        </w:rPr>
        <w:t xml:space="preserve">wprowadziła nowy instrument wparcia dla odbiorców grupy taryfowej G, polegający na zastosowaniu w rozliczeniach z tymi odbiorcami w 2023 roku ceny energii co do zasady niezmienionej w stosunku do ceny energii elektrycznej stosowanej w obowiązujących na rok 2022 taryfach sprzedawcy oraz operatora systemu dystrybucyjnego. Jednocześnie, w odniesieniu do ceny energii elektrycznej skalkulowanej przez przedsiębiorstwo energetyczne na podstawie art. 44-46 ustawy - Prawo energetyczne i zatwierdzonej przez Prezesa URE na 2023 r., przedsiębiorstwa obrotu i dystrybucji energią elektryczną zostaną objęte rekompensatami. Rekompensata będzie stanowiła różnicę pomiędzy zatwierdzoną ceną energii elektrycznej w taryfie na rok 2023 przez Prezesa URE a ceną zawartą w zatwierdzonej przez ten organ taryfie na rok 2022.  Jednocześnie, aby mechanizm w sposób istotny nie zakłócał sygnałów cenowych jako czynników kształtujących postawy u odbiorców mające na celu oszczędzanie energii elektrycznej oraz zwiększanie efektywności energetycznej, zdecydowano się na ustalenie limitu zużycia na poziomie 2 MWh. Przyjęty limit odnosi się do średniego zużycia energii elektrycznej w gospodarstwie domowym i będzie podlegał mechanizmowi rekompensat, przysługującym uprawnionym przedsiębiorstwom obrotu oraz przedsiębiorstwom zajmującym się dystrybucją energii elektrycznej. Zastosowano również dodatkowe wsparcie dla gospodarstw domowych prowadzących działalność rolną, rodzin </w:t>
      </w:r>
      <w:r w:rsidR="00337514" w:rsidRPr="00337514">
        <w:rPr>
          <w:rFonts w:ascii="Times New Roman" w:hAnsi="Times New Roman" w:cs="Times New Roman"/>
          <w:sz w:val="24"/>
          <w:szCs w:val="24"/>
        </w:rPr>
        <w:lastRenderedPageBreak/>
        <w:t>posiadających Kartę Dużej Rodziny, a także osób niepełnosprawnych, dla których zwiększono limit preferencyjnego zużycia energii elektrycznej z 2 do 3 MWh albo 2,6 MWh, uwzględniając ich zwiększone potrzeby dotyczące zużycia energii elektrycznej. Odbiorca, po przekroczeniu zużycia w wysokości 2 MWh (odpowiednio 3 MWh albo 2,6 MWh dla ww. wyodrębnionych grup odbiorców), za każdą kolejną zużytą kWh będzie rozliczany według cen obowiązujących w taryfie danego przedsiębiorstwa z roku 2023, odpowiednio (w przypadku sprzedawców alternatywnych) według ceny wolnorynkowej, obowiązującej z postanowień umownych pomiędzy nim, a jego sprzedawcą energii</w:t>
      </w:r>
      <w:r w:rsidR="0047295E">
        <w:rPr>
          <w:rFonts w:ascii="Times New Roman" w:hAnsi="Times New Roman" w:cs="Times New Roman"/>
          <w:sz w:val="24"/>
          <w:szCs w:val="24"/>
        </w:rPr>
        <w:t>.</w:t>
      </w:r>
    </w:p>
    <w:p w14:paraId="4FE35671" w14:textId="5F77FB93" w:rsidR="00616416" w:rsidRPr="00616416" w:rsidRDefault="0047295E" w:rsidP="001D65D1">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Ww. mechanizm rekompensat nie chroni jednak gospodarstw domowych przed drastycznym wzrostem cen energii w sytuacji przekroczenia przez nie limitów rocznego zużycia określonych w powołanej ustawie. Mechanizm rekompensat nie obejmuje również </w:t>
      </w:r>
      <w:bookmarkStart w:id="3" w:name="_Hlk116304763"/>
      <w:r>
        <w:rPr>
          <w:rFonts w:ascii="Times New Roman" w:hAnsi="Times New Roman" w:cs="Times New Roman"/>
          <w:sz w:val="24"/>
          <w:szCs w:val="24"/>
        </w:rPr>
        <w:t>podmiotów realizujących zadania z zakresu użyteczności publicznej ani sektora małych i średnich przedsiębiorstw</w:t>
      </w:r>
      <w:bookmarkEnd w:id="3"/>
      <w:r>
        <w:rPr>
          <w:rFonts w:ascii="Times New Roman" w:hAnsi="Times New Roman" w:cs="Times New Roman"/>
          <w:sz w:val="24"/>
          <w:szCs w:val="24"/>
        </w:rPr>
        <w:t>.</w:t>
      </w:r>
    </w:p>
    <w:p w14:paraId="7A298121" w14:textId="674EAA2C" w:rsidR="001D65D1" w:rsidRDefault="001D65D1" w:rsidP="001D65D1">
      <w:pPr>
        <w:widowControl w:val="0"/>
        <w:autoSpaceDE w:val="0"/>
        <w:autoSpaceDN w:val="0"/>
        <w:adjustRightInd w:val="0"/>
        <w:spacing w:after="0" w:line="360" w:lineRule="auto"/>
        <w:jc w:val="both"/>
        <w:rPr>
          <w:rFonts w:ascii="Times New Roman" w:hAnsi="Times New Roman" w:cs="Times New Roman"/>
          <w:b/>
          <w:bCs/>
          <w:sz w:val="24"/>
          <w:szCs w:val="24"/>
        </w:rPr>
      </w:pPr>
      <w:r w:rsidRPr="001D65D1">
        <w:rPr>
          <w:rFonts w:ascii="Times New Roman" w:hAnsi="Times New Roman" w:cs="Times New Roman"/>
          <w:b/>
          <w:bCs/>
          <w:sz w:val="24"/>
          <w:szCs w:val="24"/>
        </w:rPr>
        <w:t>3. Różnica między dotychczasowym a projektowanym stanem prawnym</w:t>
      </w:r>
    </w:p>
    <w:p w14:paraId="3DD4451C" w14:textId="0129583B" w:rsidR="00277016" w:rsidRDefault="00277016" w:rsidP="00C56F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Projektowane rozwiązanie rozszerza zakres </w:t>
      </w:r>
      <w:r w:rsidR="00B24A49">
        <w:rPr>
          <w:rFonts w:ascii="Times New Roman" w:hAnsi="Times New Roman" w:cs="Times New Roman"/>
          <w:sz w:val="24"/>
          <w:szCs w:val="24"/>
        </w:rPr>
        <w:t>podmiotów</w:t>
      </w:r>
      <w:r w:rsidR="00616416">
        <w:rPr>
          <w:rFonts w:ascii="Times New Roman" w:hAnsi="Times New Roman" w:cs="Times New Roman"/>
          <w:sz w:val="24"/>
          <w:szCs w:val="24"/>
        </w:rPr>
        <w:t>, wobec których zastosowany będzie mechanizm łagodzący skutki wzrostów cen energii elektrycznej.</w:t>
      </w:r>
      <w:r w:rsidR="00B24A49">
        <w:rPr>
          <w:rFonts w:ascii="Times New Roman" w:hAnsi="Times New Roman" w:cs="Times New Roman"/>
          <w:sz w:val="24"/>
          <w:szCs w:val="24"/>
        </w:rPr>
        <w:t xml:space="preserve"> Jednocześnie </w:t>
      </w:r>
      <w:r w:rsidR="00616416">
        <w:rPr>
          <w:rFonts w:ascii="Times New Roman" w:hAnsi="Times New Roman" w:cs="Times New Roman"/>
          <w:sz w:val="24"/>
          <w:szCs w:val="24"/>
        </w:rPr>
        <w:t xml:space="preserve">zwiększy </w:t>
      </w:r>
      <w:r w:rsidR="00B24A49">
        <w:rPr>
          <w:rFonts w:ascii="Times New Roman" w:hAnsi="Times New Roman" w:cs="Times New Roman"/>
          <w:sz w:val="24"/>
          <w:szCs w:val="24"/>
        </w:rPr>
        <w:t xml:space="preserve">ochronę wszystkich odbiorców z grupy taryfowej G przed </w:t>
      </w:r>
      <w:r w:rsidR="009902BB">
        <w:rPr>
          <w:rFonts w:ascii="Times New Roman" w:hAnsi="Times New Roman" w:cs="Times New Roman"/>
          <w:sz w:val="24"/>
          <w:szCs w:val="24"/>
        </w:rPr>
        <w:t xml:space="preserve">drastycznym </w:t>
      </w:r>
      <w:r w:rsidR="00B24A49">
        <w:rPr>
          <w:rFonts w:ascii="Times New Roman" w:hAnsi="Times New Roman" w:cs="Times New Roman"/>
          <w:sz w:val="24"/>
          <w:szCs w:val="24"/>
        </w:rPr>
        <w:t>wzrostem cen energii elektrycznej w roku 2023</w:t>
      </w:r>
      <w:r w:rsidR="009902BB">
        <w:rPr>
          <w:rFonts w:ascii="Times New Roman" w:hAnsi="Times New Roman" w:cs="Times New Roman"/>
          <w:sz w:val="24"/>
          <w:szCs w:val="24"/>
        </w:rPr>
        <w:t>, w przypadku przekroczenia przez gospodarstwa domowe limitów zużycia energii opisanych w ustawie</w:t>
      </w:r>
      <w:r w:rsidR="00414EF5">
        <w:rPr>
          <w:rFonts w:ascii="Times New Roman" w:hAnsi="Times New Roman" w:cs="Times New Roman"/>
          <w:sz w:val="24"/>
          <w:szCs w:val="24"/>
        </w:rPr>
        <w:t xml:space="preserve"> </w:t>
      </w:r>
      <w:r w:rsidR="009902BB" w:rsidRPr="009902BB">
        <w:rPr>
          <w:rFonts w:ascii="Times New Roman" w:hAnsi="Times New Roman" w:cs="Times New Roman"/>
          <w:sz w:val="24"/>
          <w:szCs w:val="24"/>
        </w:rPr>
        <w:t>z dnia 7 października 2022 r. o szczególnych rozwiązaniach służących ochronie odbiorców energii elektrycznej w 2023 roku w związku z sytuacją na rynku energii elektrycznej</w:t>
      </w:r>
      <w:r w:rsidR="009902BB">
        <w:rPr>
          <w:rFonts w:ascii="Times New Roman" w:hAnsi="Times New Roman" w:cs="Times New Roman"/>
          <w:sz w:val="24"/>
          <w:szCs w:val="24"/>
        </w:rPr>
        <w:t>.</w:t>
      </w:r>
    </w:p>
    <w:p w14:paraId="12E7EC2F" w14:textId="553C9921" w:rsidR="009902BB" w:rsidRPr="00732788" w:rsidRDefault="00732788" w:rsidP="0026061A">
      <w:pPr>
        <w:spacing w:after="0" w:line="360" w:lineRule="auto"/>
        <w:jc w:val="both"/>
        <w:rPr>
          <w:rFonts w:ascii="Times New Roman" w:hAnsi="Times New Roman" w:cs="Times New Roman"/>
          <w:sz w:val="24"/>
          <w:szCs w:val="24"/>
        </w:rPr>
      </w:pPr>
      <w:r w:rsidRPr="00732788">
        <w:rPr>
          <w:rFonts w:ascii="Times New Roman" w:hAnsi="Times New Roman" w:cs="Times New Roman"/>
          <w:sz w:val="24"/>
          <w:szCs w:val="24"/>
        </w:rPr>
        <w:t>Celem ustawy jest zwiększenie ochrony gospodarstw domowych, wprowadzenie ochrony dla podmiotów użyteczności publicznej, jednostek samorządu terytorialnego oraz mikro</w:t>
      </w:r>
      <w:r w:rsidR="00770AB2">
        <w:rPr>
          <w:rFonts w:ascii="Times New Roman" w:hAnsi="Times New Roman" w:cs="Times New Roman"/>
          <w:sz w:val="24"/>
          <w:szCs w:val="24"/>
        </w:rPr>
        <w:t>-</w:t>
      </w:r>
      <w:r w:rsidRPr="00732788">
        <w:rPr>
          <w:rFonts w:ascii="Times New Roman" w:hAnsi="Times New Roman" w:cs="Times New Roman"/>
          <w:sz w:val="24"/>
          <w:szCs w:val="24"/>
        </w:rPr>
        <w:t>, małych i średnich przedsiębiorstw (MiŚP) przed drastycznym wzrostem rachunków za energię elektryczną poprzez wprowadzenie mechanizmu ceny energii elektrycznej „maksymalnej” do rozliczeń z odbiorcami uprawnionymi przez sprzedawców energii</w:t>
      </w:r>
      <w:r>
        <w:rPr>
          <w:rFonts w:ascii="Times New Roman" w:hAnsi="Times New Roman" w:cs="Times New Roman"/>
          <w:sz w:val="24"/>
          <w:szCs w:val="24"/>
        </w:rPr>
        <w:t>.</w:t>
      </w:r>
    </w:p>
    <w:p w14:paraId="3E77BE63" w14:textId="08350E59" w:rsidR="004708ED" w:rsidRPr="00C56F23" w:rsidRDefault="005C44EB" w:rsidP="00354950">
      <w:pPr>
        <w:spacing w:after="0" w:line="360" w:lineRule="auto"/>
        <w:jc w:val="both"/>
        <w:rPr>
          <w:rFonts w:ascii="Times New Roman" w:hAnsi="Times New Roman" w:cs="Times New Roman"/>
          <w:sz w:val="24"/>
          <w:szCs w:val="24"/>
        </w:rPr>
      </w:pPr>
      <w:bookmarkStart w:id="4" w:name="_Hlk116303072"/>
      <w:r>
        <w:rPr>
          <w:rFonts w:ascii="Times New Roman" w:hAnsi="Times New Roman" w:cs="Times New Roman"/>
          <w:sz w:val="24"/>
          <w:szCs w:val="24"/>
        </w:rPr>
        <w:t>Jednocześnie</w:t>
      </w:r>
      <w:r w:rsidR="009E7766">
        <w:rPr>
          <w:rFonts w:ascii="Times New Roman" w:hAnsi="Times New Roman" w:cs="Times New Roman"/>
          <w:sz w:val="24"/>
          <w:szCs w:val="24"/>
        </w:rPr>
        <w:t xml:space="preserve"> </w:t>
      </w:r>
      <w:r w:rsidR="0007753D">
        <w:rPr>
          <w:rFonts w:ascii="Times New Roman" w:hAnsi="Times New Roman" w:cs="Times New Roman"/>
          <w:sz w:val="24"/>
          <w:szCs w:val="24"/>
        </w:rPr>
        <w:t>przedsiębiorstw</w:t>
      </w:r>
      <w:r w:rsidR="001A3016">
        <w:rPr>
          <w:rFonts w:ascii="Times New Roman" w:hAnsi="Times New Roman" w:cs="Times New Roman"/>
          <w:sz w:val="24"/>
          <w:szCs w:val="24"/>
        </w:rPr>
        <w:t>a</w:t>
      </w:r>
      <w:r w:rsidR="0007753D">
        <w:rPr>
          <w:rFonts w:ascii="Times New Roman" w:hAnsi="Times New Roman" w:cs="Times New Roman"/>
          <w:sz w:val="24"/>
          <w:szCs w:val="24"/>
        </w:rPr>
        <w:t xml:space="preserve"> obrotu</w:t>
      </w:r>
      <w:r w:rsidR="001A3016">
        <w:rPr>
          <w:rFonts w:ascii="Times New Roman" w:hAnsi="Times New Roman" w:cs="Times New Roman"/>
          <w:sz w:val="24"/>
          <w:szCs w:val="24"/>
        </w:rPr>
        <w:t xml:space="preserve"> energią elektryczną</w:t>
      </w:r>
      <w:r w:rsidR="0007753D">
        <w:rPr>
          <w:rFonts w:ascii="Times New Roman" w:hAnsi="Times New Roman" w:cs="Times New Roman"/>
          <w:sz w:val="24"/>
          <w:szCs w:val="24"/>
        </w:rPr>
        <w:t xml:space="preserve"> zostan</w:t>
      </w:r>
      <w:r w:rsidR="001A3016">
        <w:rPr>
          <w:rFonts w:ascii="Times New Roman" w:hAnsi="Times New Roman" w:cs="Times New Roman"/>
          <w:sz w:val="24"/>
          <w:szCs w:val="24"/>
        </w:rPr>
        <w:t>ą</w:t>
      </w:r>
      <w:r w:rsidR="0007753D">
        <w:rPr>
          <w:rFonts w:ascii="Times New Roman" w:hAnsi="Times New Roman" w:cs="Times New Roman"/>
          <w:sz w:val="24"/>
          <w:szCs w:val="24"/>
        </w:rPr>
        <w:t xml:space="preserve"> objęte rekompensatami.</w:t>
      </w:r>
      <w:r w:rsidR="001B01F7">
        <w:rPr>
          <w:rFonts w:ascii="Times New Roman" w:hAnsi="Times New Roman" w:cs="Times New Roman"/>
          <w:sz w:val="24"/>
          <w:szCs w:val="24"/>
        </w:rPr>
        <w:t xml:space="preserve"> </w:t>
      </w:r>
      <w:r w:rsidR="00354950">
        <w:rPr>
          <w:rFonts w:ascii="Times New Roman" w:hAnsi="Times New Roman" w:cs="Times New Roman"/>
          <w:sz w:val="24"/>
          <w:szCs w:val="24"/>
        </w:rPr>
        <w:t>Wysokość r</w:t>
      </w:r>
      <w:r w:rsidR="001B01F7">
        <w:rPr>
          <w:rFonts w:ascii="Times New Roman" w:hAnsi="Times New Roman" w:cs="Times New Roman"/>
          <w:sz w:val="24"/>
          <w:szCs w:val="24"/>
        </w:rPr>
        <w:t>ekompensat</w:t>
      </w:r>
      <w:r w:rsidR="00354950">
        <w:rPr>
          <w:rFonts w:ascii="Times New Roman" w:hAnsi="Times New Roman" w:cs="Times New Roman"/>
          <w:sz w:val="24"/>
          <w:szCs w:val="24"/>
        </w:rPr>
        <w:t>y</w:t>
      </w:r>
      <w:r w:rsidR="001B01F7">
        <w:rPr>
          <w:rFonts w:ascii="Times New Roman" w:hAnsi="Times New Roman" w:cs="Times New Roman"/>
          <w:sz w:val="24"/>
          <w:szCs w:val="24"/>
        </w:rPr>
        <w:t xml:space="preserve"> </w:t>
      </w:r>
      <w:r w:rsidR="00AD2042">
        <w:rPr>
          <w:rFonts w:ascii="Times New Roman" w:hAnsi="Times New Roman" w:cs="Times New Roman"/>
          <w:sz w:val="24"/>
          <w:szCs w:val="24"/>
        </w:rPr>
        <w:t xml:space="preserve">co do zasady </w:t>
      </w:r>
      <w:r w:rsidR="001B01F7">
        <w:rPr>
          <w:rFonts w:ascii="Times New Roman" w:hAnsi="Times New Roman" w:cs="Times New Roman"/>
          <w:sz w:val="24"/>
          <w:szCs w:val="24"/>
        </w:rPr>
        <w:t xml:space="preserve">będzie </w:t>
      </w:r>
      <w:r w:rsidR="00AD2042">
        <w:rPr>
          <w:rFonts w:ascii="Times New Roman" w:hAnsi="Times New Roman" w:cs="Times New Roman"/>
          <w:sz w:val="24"/>
          <w:szCs w:val="24"/>
        </w:rPr>
        <w:t>stanowiła</w:t>
      </w:r>
      <w:r w:rsidR="00354950">
        <w:rPr>
          <w:rFonts w:ascii="Times New Roman" w:hAnsi="Times New Roman" w:cs="Times New Roman"/>
          <w:sz w:val="24"/>
          <w:szCs w:val="24"/>
        </w:rPr>
        <w:t xml:space="preserve"> iloczyn ilości energii elektrycznej zużytej w danym miesiącu i </w:t>
      </w:r>
      <w:r w:rsidR="001B01F7">
        <w:rPr>
          <w:rFonts w:ascii="Times New Roman" w:hAnsi="Times New Roman" w:cs="Times New Roman"/>
          <w:sz w:val="24"/>
          <w:szCs w:val="24"/>
        </w:rPr>
        <w:t>różnic</w:t>
      </w:r>
      <w:r w:rsidR="00354950">
        <w:rPr>
          <w:rFonts w:ascii="Times New Roman" w:hAnsi="Times New Roman" w:cs="Times New Roman"/>
          <w:sz w:val="24"/>
          <w:szCs w:val="24"/>
        </w:rPr>
        <w:t>y</w:t>
      </w:r>
      <w:r w:rsidR="001B01F7">
        <w:rPr>
          <w:rFonts w:ascii="Times New Roman" w:hAnsi="Times New Roman" w:cs="Times New Roman"/>
          <w:sz w:val="24"/>
          <w:szCs w:val="24"/>
        </w:rPr>
        <w:t xml:space="preserve"> pomiędzy </w:t>
      </w:r>
      <w:bookmarkEnd w:id="4"/>
      <w:r w:rsidR="00354950">
        <w:rPr>
          <w:rFonts w:ascii="Times New Roman" w:hAnsi="Times New Roman" w:cs="Times New Roman"/>
          <w:sz w:val="24"/>
          <w:szCs w:val="24"/>
        </w:rPr>
        <w:t>ceną referencyjną obliczaną na każdy miesiąc z projektowanego w ustawie 13-miesięcznego okresu wsparcia na podstawie danych z Raportów Miesięcznych publikowanych przez Towarową Giełdę Energii S.A., a ceną maksymalną określoną w projektowanej ustawie.</w:t>
      </w:r>
    </w:p>
    <w:p w14:paraId="6F3FA4C2" w14:textId="04D37A67" w:rsidR="0058675B" w:rsidRDefault="008C611B" w:rsidP="001D65D1">
      <w:pPr>
        <w:widowControl w:val="0"/>
        <w:autoSpaceDE w:val="0"/>
        <w:autoSpaceDN w:val="0"/>
        <w:adjustRightInd w:val="0"/>
        <w:spacing w:after="0" w:line="360" w:lineRule="auto"/>
        <w:jc w:val="both"/>
        <w:rPr>
          <w:rFonts w:ascii="Times New Roman" w:hAnsi="Times New Roman" w:cs="Times New Roman"/>
          <w:b/>
          <w:bCs/>
          <w:sz w:val="24"/>
          <w:szCs w:val="24"/>
        </w:rPr>
      </w:pPr>
      <w:r w:rsidRPr="001D65D1">
        <w:rPr>
          <w:rFonts w:ascii="Times New Roman" w:hAnsi="Times New Roman" w:cs="Times New Roman"/>
          <w:b/>
          <w:bCs/>
          <w:sz w:val="24"/>
          <w:szCs w:val="24"/>
        </w:rPr>
        <w:t>4.</w:t>
      </w:r>
      <w:r w:rsidRPr="001D65D1">
        <w:rPr>
          <w:rFonts w:ascii="Times New Roman" w:hAnsi="Times New Roman" w:cs="Times New Roman"/>
          <w:sz w:val="24"/>
          <w:szCs w:val="24"/>
        </w:rPr>
        <w:t xml:space="preserve"> </w:t>
      </w:r>
      <w:r w:rsidRPr="001D65D1">
        <w:rPr>
          <w:rFonts w:ascii="Times New Roman" w:hAnsi="Times New Roman" w:cs="Times New Roman"/>
          <w:b/>
          <w:bCs/>
          <w:sz w:val="24"/>
          <w:szCs w:val="24"/>
        </w:rPr>
        <w:t>Opis najważniejszych rozwiązań projektu ustawy</w:t>
      </w:r>
    </w:p>
    <w:p w14:paraId="1C067B5B" w14:textId="4EFA49FE" w:rsidR="004E16C3" w:rsidRPr="00623115" w:rsidRDefault="00861FD2" w:rsidP="001D65D1">
      <w:pPr>
        <w:widowControl w:val="0"/>
        <w:autoSpaceDE w:val="0"/>
        <w:autoSpaceDN w:val="0"/>
        <w:adjustRightInd w:val="0"/>
        <w:spacing w:after="0" w:line="360" w:lineRule="auto"/>
        <w:jc w:val="both"/>
        <w:rPr>
          <w:rFonts w:ascii="Times New Roman" w:hAnsi="Times New Roman" w:cs="Times New Roman"/>
          <w:b/>
          <w:bCs/>
          <w:sz w:val="24"/>
          <w:szCs w:val="24"/>
          <w:u w:val="single"/>
        </w:rPr>
      </w:pPr>
      <w:r w:rsidRPr="00623115">
        <w:rPr>
          <w:rFonts w:ascii="Times New Roman" w:hAnsi="Times New Roman" w:cs="Times New Roman"/>
          <w:b/>
          <w:bCs/>
          <w:sz w:val="24"/>
          <w:szCs w:val="24"/>
          <w:u w:val="single"/>
        </w:rPr>
        <w:t>Zamrożone ceny energii elektrycznej i rekompensaty</w:t>
      </w:r>
    </w:p>
    <w:p w14:paraId="351D164A" w14:textId="708F0C6F" w:rsidR="00F57A14" w:rsidRDefault="001E07ED" w:rsidP="000B3554">
      <w:pPr>
        <w:widowControl w:val="0"/>
        <w:autoSpaceDE w:val="0"/>
        <w:autoSpaceDN w:val="0"/>
        <w:adjustRightInd w:val="0"/>
        <w:spacing w:after="0" w:line="360" w:lineRule="auto"/>
        <w:jc w:val="both"/>
        <w:rPr>
          <w:rFonts w:ascii="Times New Roman" w:hAnsi="Times New Roman" w:cs="Times New Roman"/>
          <w:sz w:val="24"/>
          <w:szCs w:val="24"/>
        </w:rPr>
      </w:pPr>
      <w:r w:rsidRPr="004E16C3">
        <w:rPr>
          <w:rFonts w:ascii="Times New Roman" w:hAnsi="Times New Roman" w:cs="Times New Roman"/>
          <w:sz w:val="24"/>
          <w:szCs w:val="24"/>
        </w:rPr>
        <w:t xml:space="preserve">Ustawodawca w celu ochrony odbiorców w </w:t>
      </w:r>
      <w:r w:rsidR="0062213C" w:rsidRPr="004E16C3">
        <w:rPr>
          <w:rFonts w:ascii="Times New Roman" w:hAnsi="Times New Roman" w:cs="Times New Roman"/>
          <w:sz w:val="24"/>
          <w:szCs w:val="24"/>
        </w:rPr>
        <w:t>grupie taryfowej G</w:t>
      </w:r>
      <w:r w:rsidR="005D08FB">
        <w:rPr>
          <w:rFonts w:ascii="Times New Roman" w:hAnsi="Times New Roman" w:cs="Times New Roman"/>
          <w:sz w:val="24"/>
          <w:szCs w:val="24"/>
        </w:rPr>
        <w:t xml:space="preserve">, jak również </w:t>
      </w:r>
      <w:r w:rsidR="005D08FB" w:rsidRPr="005D08FB">
        <w:rPr>
          <w:rFonts w:ascii="Times New Roman" w:hAnsi="Times New Roman" w:cs="Times New Roman"/>
          <w:sz w:val="24"/>
          <w:szCs w:val="24"/>
        </w:rPr>
        <w:t xml:space="preserve">niektórych </w:t>
      </w:r>
      <w:r w:rsidR="005D08FB" w:rsidRPr="005D08FB">
        <w:rPr>
          <w:rFonts w:ascii="Times New Roman" w:hAnsi="Times New Roman" w:cs="Times New Roman"/>
          <w:sz w:val="24"/>
          <w:szCs w:val="24"/>
        </w:rPr>
        <w:lastRenderedPageBreak/>
        <w:t>podmiotów użyteczności publicznej wykonujących kluczowe role władz publicznych w szczególności z zakresu polityki zdrowotnej, edukacyjnej i rodzinno-opiekuńczej</w:t>
      </w:r>
      <w:r w:rsidR="005D08FB">
        <w:rPr>
          <w:rFonts w:ascii="Times New Roman" w:hAnsi="Times New Roman" w:cs="Times New Roman"/>
          <w:sz w:val="24"/>
          <w:szCs w:val="24"/>
        </w:rPr>
        <w:t xml:space="preserve"> oraz sektora </w:t>
      </w:r>
      <w:r w:rsidR="005D08FB" w:rsidRPr="005D08FB">
        <w:rPr>
          <w:rFonts w:ascii="Times New Roman" w:hAnsi="Times New Roman" w:cs="Times New Roman"/>
          <w:sz w:val="24"/>
          <w:szCs w:val="24"/>
        </w:rPr>
        <w:t>małych i średnich przedsiębiorstw</w:t>
      </w:r>
      <w:r w:rsidR="005D08FB">
        <w:rPr>
          <w:rFonts w:ascii="Times New Roman" w:hAnsi="Times New Roman" w:cs="Times New Roman"/>
          <w:sz w:val="24"/>
          <w:szCs w:val="24"/>
        </w:rPr>
        <w:t xml:space="preserve">, przed drastycznym wzrostem cen energii elektrycznej </w:t>
      </w:r>
      <w:r w:rsidRPr="004E16C3">
        <w:rPr>
          <w:rFonts w:ascii="Times New Roman" w:hAnsi="Times New Roman" w:cs="Times New Roman"/>
          <w:sz w:val="24"/>
          <w:szCs w:val="24"/>
        </w:rPr>
        <w:t xml:space="preserve">zdecydował się </w:t>
      </w:r>
      <w:r w:rsidR="0062213C" w:rsidRPr="004E16C3">
        <w:rPr>
          <w:rFonts w:ascii="Times New Roman" w:hAnsi="Times New Roman" w:cs="Times New Roman"/>
          <w:sz w:val="24"/>
          <w:szCs w:val="24"/>
        </w:rPr>
        <w:t xml:space="preserve">na wprowadzenia mechanizmu </w:t>
      </w:r>
      <w:r w:rsidR="005D08FB">
        <w:rPr>
          <w:rFonts w:ascii="Times New Roman" w:hAnsi="Times New Roman" w:cs="Times New Roman"/>
          <w:sz w:val="24"/>
          <w:szCs w:val="24"/>
        </w:rPr>
        <w:t>ceny maksymalnej stosowanej w rozliczeniach z tymi odbiorcami.</w:t>
      </w:r>
      <w:r w:rsidR="0062213C" w:rsidRPr="004E16C3">
        <w:rPr>
          <w:rFonts w:ascii="Times New Roman" w:hAnsi="Times New Roman" w:cs="Times New Roman"/>
          <w:sz w:val="24"/>
          <w:szCs w:val="24"/>
        </w:rPr>
        <w:t xml:space="preserve"> </w:t>
      </w:r>
    </w:p>
    <w:p w14:paraId="3EEAD05A" w14:textId="6BF8002E" w:rsidR="00BA4B84" w:rsidRDefault="000B3554" w:rsidP="000B3554">
      <w:pPr>
        <w:spacing w:after="0" w:line="360" w:lineRule="auto"/>
        <w:jc w:val="both"/>
        <w:rPr>
          <w:rFonts w:ascii="Times New Roman" w:hAnsi="Times New Roman" w:cs="Times New Roman"/>
          <w:sz w:val="24"/>
          <w:szCs w:val="24"/>
        </w:rPr>
      </w:pPr>
      <w:r w:rsidRPr="000B3554">
        <w:rPr>
          <w:rFonts w:ascii="Times New Roman" w:hAnsi="Times New Roman" w:cs="Times New Roman"/>
          <w:sz w:val="24"/>
          <w:szCs w:val="24"/>
        </w:rPr>
        <w:t>Projektowane rozwiązania w zakresie ochrony ww. grupy odbiorców zakładają, że niezależnie od wzrostu cen energii elektrycznej na rynku hurtowym w roku 2023 w rozliczeniach z odbiorcami</w:t>
      </w:r>
      <w:r w:rsidRPr="000B3554" w:rsidDel="00AE7070">
        <w:rPr>
          <w:rFonts w:ascii="Times New Roman" w:hAnsi="Times New Roman" w:cs="Times New Roman"/>
          <w:sz w:val="24"/>
          <w:szCs w:val="24"/>
        </w:rPr>
        <w:t xml:space="preserve"> </w:t>
      </w:r>
      <w:r w:rsidRPr="000B3554">
        <w:rPr>
          <w:rFonts w:ascii="Times New Roman" w:hAnsi="Times New Roman" w:cs="Times New Roman"/>
          <w:sz w:val="24"/>
          <w:szCs w:val="24"/>
        </w:rPr>
        <w:t>stosuje się ceny za obrót energią elektryczną tzw. cen</w:t>
      </w:r>
      <w:r w:rsidR="000D25D4">
        <w:rPr>
          <w:rFonts w:ascii="Times New Roman" w:hAnsi="Times New Roman" w:cs="Times New Roman"/>
          <w:sz w:val="24"/>
          <w:szCs w:val="24"/>
        </w:rPr>
        <w:t>ę</w:t>
      </w:r>
      <w:r w:rsidRPr="000B3554">
        <w:rPr>
          <w:rFonts w:ascii="Times New Roman" w:hAnsi="Times New Roman" w:cs="Times New Roman"/>
          <w:sz w:val="24"/>
          <w:szCs w:val="24"/>
        </w:rPr>
        <w:t xml:space="preserve"> maksymaln</w:t>
      </w:r>
      <w:r w:rsidR="002E0D64">
        <w:rPr>
          <w:rFonts w:ascii="Times New Roman" w:hAnsi="Times New Roman" w:cs="Times New Roman"/>
          <w:sz w:val="24"/>
          <w:szCs w:val="24"/>
        </w:rPr>
        <w:t>ą</w:t>
      </w:r>
      <w:r w:rsidRPr="000B3554">
        <w:rPr>
          <w:rFonts w:ascii="Times New Roman" w:hAnsi="Times New Roman" w:cs="Times New Roman"/>
          <w:sz w:val="24"/>
          <w:szCs w:val="24"/>
        </w:rPr>
        <w:t xml:space="preserve"> na poziomie</w:t>
      </w:r>
      <w:r w:rsidR="00BA4B84">
        <w:rPr>
          <w:rFonts w:ascii="Times New Roman" w:hAnsi="Times New Roman" w:cs="Times New Roman"/>
          <w:sz w:val="24"/>
          <w:szCs w:val="24"/>
        </w:rPr>
        <w:t>:</w:t>
      </w:r>
    </w:p>
    <w:p w14:paraId="31489F32" w14:textId="5147DDFE" w:rsidR="00BA4B84" w:rsidRDefault="00BA4B84" w:rsidP="000B35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0B3554" w:rsidRPr="000B3554">
        <w:rPr>
          <w:rFonts w:ascii="Times New Roman" w:hAnsi="Times New Roman" w:cs="Times New Roman"/>
          <w:sz w:val="24"/>
          <w:szCs w:val="24"/>
        </w:rPr>
        <w:t xml:space="preserve"> 785 zł/MWh </w:t>
      </w:r>
      <w:r>
        <w:rPr>
          <w:rFonts w:ascii="Times New Roman" w:hAnsi="Times New Roman" w:cs="Times New Roman"/>
          <w:sz w:val="24"/>
          <w:szCs w:val="24"/>
        </w:rPr>
        <w:t>– w przypadku odbiorców użyteczności publicznej oraz małych i średnich przedsiębiorstw</w:t>
      </w:r>
    </w:p>
    <w:p w14:paraId="0DC717CC" w14:textId="242BE870" w:rsidR="000B3554" w:rsidRDefault="00BA4B84" w:rsidP="000B35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0B3554" w:rsidRPr="000B3554">
        <w:rPr>
          <w:rFonts w:ascii="Times New Roman" w:hAnsi="Times New Roman" w:cs="Times New Roman"/>
          <w:sz w:val="24"/>
          <w:szCs w:val="24"/>
        </w:rPr>
        <w:t xml:space="preserve"> </w:t>
      </w:r>
      <w:r w:rsidR="000D25D4">
        <w:rPr>
          <w:rFonts w:ascii="Times New Roman" w:hAnsi="Times New Roman" w:cs="Times New Roman"/>
          <w:sz w:val="24"/>
          <w:szCs w:val="24"/>
        </w:rPr>
        <w:t xml:space="preserve"> </w:t>
      </w:r>
      <w:r w:rsidR="000B3554" w:rsidRPr="000B3554">
        <w:rPr>
          <w:rFonts w:ascii="Times New Roman" w:hAnsi="Times New Roman" w:cs="Times New Roman"/>
          <w:sz w:val="24"/>
          <w:szCs w:val="24"/>
        </w:rPr>
        <w:t>693 zł/MWh – w przypadku odbiorców w gospodarstwach domowych</w:t>
      </w:r>
      <w:r>
        <w:rPr>
          <w:rFonts w:ascii="Times New Roman" w:hAnsi="Times New Roman" w:cs="Times New Roman"/>
          <w:sz w:val="24"/>
          <w:szCs w:val="24"/>
        </w:rPr>
        <w:t>.</w:t>
      </w:r>
    </w:p>
    <w:p w14:paraId="6F296686" w14:textId="015EF564" w:rsidR="00BA4B84" w:rsidRPr="000B3554" w:rsidRDefault="00BA4B84" w:rsidP="000B35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Ponadto uregulowano wszystkie </w:t>
      </w:r>
      <w:r w:rsidR="000D25D4">
        <w:rPr>
          <w:rFonts w:ascii="Times New Roman" w:hAnsi="Times New Roman" w:cs="Times New Roman"/>
          <w:sz w:val="24"/>
          <w:szCs w:val="24"/>
        </w:rPr>
        <w:t>przypadki</w:t>
      </w:r>
      <w:r>
        <w:rPr>
          <w:rFonts w:ascii="Times New Roman" w:hAnsi="Times New Roman" w:cs="Times New Roman"/>
          <w:sz w:val="24"/>
          <w:szCs w:val="24"/>
        </w:rPr>
        <w:t xml:space="preserve"> związane z rozliczeniami z odbiorcami uprawnionymi</w:t>
      </w:r>
      <w:r w:rsidR="000D25D4">
        <w:rPr>
          <w:rFonts w:ascii="Times New Roman" w:hAnsi="Times New Roman" w:cs="Times New Roman"/>
          <w:sz w:val="24"/>
          <w:szCs w:val="24"/>
        </w:rPr>
        <w:t xml:space="preserve"> oraz rekompensatami dla sprzedawców energii</w:t>
      </w:r>
      <w:r>
        <w:rPr>
          <w:rFonts w:ascii="Times New Roman" w:hAnsi="Times New Roman" w:cs="Times New Roman"/>
          <w:sz w:val="24"/>
          <w:szCs w:val="24"/>
        </w:rPr>
        <w:t xml:space="preserve"> w szczególności:</w:t>
      </w:r>
    </w:p>
    <w:p w14:paraId="29E8AC5A" w14:textId="07B4DDE4" w:rsidR="000B3554" w:rsidRPr="000B3554" w:rsidRDefault="000B3554" w:rsidP="000B3554">
      <w:pPr>
        <w:numPr>
          <w:ilvl w:val="0"/>
          <w:numId w:val="9"/>
        </w:numPr>
        <w:spacing w:after="0" w:line="360" w:lineRule="auto"/>
        <w:jc w:val="both"/>
        <w:rPr>
          <w:rFonts w:ascii="Times New Roman" w:hAnsi="Times New Roman" w:cs="Times New Roman"/>
          <w:sz w:val="24"/>
          <w:szCs w:val="24"/>
        </w:rPr>
      </w:pPr>
      <w:r w:rsidRPr="000B3554">
        <w:rPr>
          <w:rFonts w:ascii="Times New Roman" w:hAnsi="Times New Roman" w:cs="Times New Roman"/>
          <w:sz w:val="24"/>
          <w:szCs w:val="24"/>
        </w:rPr>
        <w:t>obowiązek stosowania w rozliczeniach z odbiorcami uprawnionymi (z wyjątkiem odbiorców w gospodarstwach domowych) cen</w:t>
      </w:r>
      <w:r w:rsidR="0026061A">
        <w:rPr>
          <w:rFonts w:ascii="Times New Roman" w:hAnsi="Times New Roman" w:cs="Times New Roman"/>
          <w:sz w:val="24"/>
          <w:szCs w:val="24"/>
        </w:rPr>
        <w:t>y</w:t>
      </w:r>
      <w:r w:rsidRPr="000B3554">
        <w:rPr>
          <w:rFonts w:ascii="Times New Roman" w:hAnsi="Times New Roman" w:cs="Times New Roman"/>
          <w:sz w:val="24"/>
          <w:szCs w:val="24"/>
        </w:rPr>
        <w:t xml:space="preserve"> maksymaln</w:t>
      </w:r>
      <w:r w:rsidR="0026061A">
        <w:rPr>
          <w:rFonts w:ascii="Times New Roman" w:hAnsi="Times New Roman" w:cs="Times New Roman"/>
          <w:sz w:val="24"/>
          <w:szCs w:val="24"/>
        </w:rPr>
        <w:t>ej</w:t>
      </w:r>
      <w:r w:rsidRPr="000B3554">
        <w:rPr>
          <w:rFonts w:ascii="Times New Roman" w:hAnsi="Times New Roman" w:cs="Times New Roman"/>
          <w:sz w:val="24"/>
          <w:szCs w:val="24"/>
        </w:rPr>
        <w:t xml:space="preserve"> w okresie od dnia 1 grudnia 2022 r. do dnia 31 grudnia 2023 r. za całkowite zużycie energii elektrycznej w punkcie poboru energii. </w:t>
      </w:r>
    </w:p>
    <w:p w14:paraId="5E28B7DC" w14:textId="654C6361" w:rsidR="000B3554" w:rsidRDefault="000B3554" w:rsidP="000B3554">
      <w:pPr>
        <w:numPr>
          <w:ilvl w:val="0"/>
          <w:numId w:val="9"/>
        </w:numPr>
        <w:spacing w:after="0" w:line="360" w:lineRule="auto"/>
        <w:jc w:val="both"/>
        <w:rPr>
          <w:rFonts w:ascii="Times New Roman" w:hAnsi="Times New Roman" w:cs="Times New Roman"/>
          <w:sz w:val="24"/>
          <w:szCs w:val="24"/>
        </w:rPr>
      </w:pPr>
      <w:r w:rsidRPr="000B3554">
        <w:rPr>
          <w:rFonts w:ascii="Times New Roman" w:hAnsi="Times New Roman" w:cs="Times New Roman"/>
          <w:sz w:val="24"/>
          <w:szCs w:val="24"/>
        </w:rPr>
        <w:t xml:space="preserve">w przypadku odbiorców </w:t>
      </w:r>
      <w:r w:rsidR="008B5065">
        <w:rPr>
          <w:rFonts w:ascii="Times New Roman" w:hAnsi="Times New Roman" w:cs="Times New Roman"/>
          <w:sz w:val="24"/>
          <w:szCs w:val="24"/>
        </w:rPr>
        <w:t>użyteczności publicznej</w:t>
      </w:r>
      <w:r w:rsidRPr="000B3554">
        <w:rPr>
          <w:rFonts w:ascii="Times New Roman" w:hAnsi="Times New Roman" w:cs="Times New Roman"/>
          <w:sz w:val="24"/>
          <w:szCs w:val="24"/>
        </w:rPr>
        <w:t>, w tym odbiorców podległych jednostkom samorządu terytorialnego oraz odbiorców z sektora małych i średnich przedsiębiorstw, z którymi zawarto umowy po dniu 23 lutego 2022 r. wprowadza się obowiązek stosowania w rozliczeniach z tymi odbiorcami cen</w:t>
      </w:r>
      <w:r w:rsidR="0026061A">
        <w:rPr>
          <w:rFonts w:ascii="Times New Roman" w:hAnsi="Times New Roman" w:cs="Times New Roman"/>
          <w:sz w:val="24"/>
          <w:szCs w:val="24"/>
        </w:rPr>
        <w:t>y</w:t>
      </w:r>
      <w:r w:rsidRPr="000B3554">
        <w:rPr>
          <w:rFonts w:ascii="Times New Roman" w:hAnsi="Times New Roman" w:cs="Times New Roman"/>
          <w:sz w:val="24"/>
          <w:szCs w:val="24"/>
        </w:rPr>
        <w:t xml:space="preserve"> maksymaln</w:t>
      </w:r>
      <w:r w:rsidR="0026061A">
        <w:rPr>
          <w:rFonts w:ascii="Times New Roman" w:hAnsi="Times New Roman" w:cs="Times New Roman"/>
          <w:sz w:val="24"/>
          <w:szCs w:val="24"/>
        </w:rPr>
        <w:t>ej</w:t>
      </w:r>
      <w:r w:rsidRPr="000B3554">
        <w:rPr>
          <w:rFonts w:ascii="Times New Roman" w:hAnsi="Times New Roman" w:cs="Times New Roman"/>
          <w:sz w:val="24"/>
          <w:szCs w:val="24"/>
        </w:rPr>
        <w:t xml:space="preserve"> również w okresie dostaw energii od dnia 24 lutego 2022 r. do dnia wejścia w życie przedmiotowej regulacji,</w:t>
      </w:r>
    </w:p>
    <w:p w14:paraId="5B22517B" w14:textId="77777777" w:rsidR="000B3554" w:rsidRPr="000B3554" w:rsidRDefault="000B3554" w:rsidP="000B3554">
      <w:pPr>
        <w:numPr>
          <w:ilvl w:val="0"/>
          <w:numId w:val="9"/>
        </w:numPr>
        <w:spacing w:after="0" w:line="360" w:lineRule="auto"/>
        <w:jc w:val="both"/>
        <w:rPr>
          <w:rFonts w:ascii="Times New Roman" w:hAnsi="Times New Roman" w:cs="Times New Roman"/>
          <w:sz w:val="24"/>
          <w:szCs w:val="24"/>
        </w:rPr>
      </w:pPr>
      <w:r w:rsidRPr="000B3554">
        <w:rPr>
          <w:rFonts w:ascii="Times New Roman" w:hAnsi="Times New Roman" w:cs="Times New Roman"/>
          <w:sz w:val="24"/>
          <w:szCs w:val="24"/>
        </w:rPr>
        <w:t>obowiązek stosowania ceny maksymalnej w rozliczeniach z odbiorcami uprawnionymi wymienionymi w projektowanej ustawie, w przypadku, gdy ceny wynikające z zawartych przez nich umów są wyższe od ceny maksymalnej,</w:t>
      </w:r>
    </w:p>
    <w:p w14:paraId="4E9CBE5D" w14:textId="530FBD0B" w:rsidR="000B3554" w:rsidRPr="000B3554" w:rsidRDefault="000B3554" w:rsidP="000B3554">
      <w:pPr>
        <w:numPr>
          <w:ilvl w:val="0"/>
          <w:numId w:val="9"/>
        </w:numPr>
        <w:spacing w:after="0" w:line="360" w:lineRule="auto"/>
        <w:jc w:val="both"/>
        <w:rPr>
          <w:rFonts w:ascii="Times New Roman" w:hAnsi="Times New Roman" w:cs="Times New Roman"/>
          <w:sz w:val="24"/>
          <w:szCs w:val="24"/>
        </w:rPr>
      </w:pPr>
      <w:r w:rsidRPr="000B3554">
        <w:rPr>
          <w:rFonts w:ascii="Times New Roman" w:hAnsi="Times New Roman" w:cs="Times New Roman"/>
          <w:sz w:val="24"/>
          <w:szCs w:val="24"/>
        </w:rPr>
        <w:t>w przypadku odbiorców w gospodarstwach domowych ceny maksymaln</w:t>
      </w:r>
      <w:r w:rsidR="0026061A">
        <w:rPr>
          <w:rFonts w:ascii="Times New Roman" w:hAnsi="Times New Roman" w:cs="Times New Roman"/>
          <w:sz w:val="24"/>
          <w:szCs w:val="24"/>
        </w:rPr>
        <w:t>ej</w:t>
      </w:r>
      <w:r w:rsidRPr="000B3554">
        <w:rPr>
          <w:rFonts w:ascii="Times New Roman" w:hAnsi="Times New Roman" w:cs="Times New Roman"/>
          <w:sz w:val="24"/>
          <w:szCs w:val="24"/>
        </w:rPr>
        <w:t xml:space="preserve"> obowiązywać będą w okresie od dnia 1 stycznia 2023 r. do dnia 31 grudnia 2023 r. w odniesieniu do całego zużycia energii elektrycznej powyżej limitu przyznanego odpowiednio tym odbiorcom zgodnie z przepisami ustawy z dnia 7 października 2022 r. o szczególnych rozwiązaniach służących ochronie odbiorców energii elektrycznej w 2023 roku w związku z sytuacją na rynku energii elektrycznej,</w:t>
      </w:r>
    </w:p>
    <w:p w14:paraId="6E3FD817" w14:textId="77777777" w:rsidR="000B3554" w:rsidRPr="000B3554" w:rsidRDefault="000B3554" w:rsidP="000B3554">
      <w:pPr>
        <w:numPr>
          <w:ilvl w:val="0"/>
          <w:numId w:val="9"/>
        </w:numPr>
        <w:spacing w:after="0" w:line="360" w:lineRule="auto"/>
        <w:jc w:val="both"/>
        <w:rPr>
          <w:rFonts w:ascii="Times New Roman" w:hAnsi="Times New Roman" w:cs="Times New Roman"/>
          <w:sz w:val="24"/>
          <w:szCs w:val="24"/>
        </w:rPr>
      </w:pPr>
      <w:r w:rsidRPr="000B3554">
        <w:rPr>
          <w:rFonts w:ascii="Times New Roman" w:hAnsi="Times New Roman" w:cs="Times New Roman"/>
          <w:sz w:val="24"/>
          <w:szCs w:val="24"/>
        </w:rPr>
        <w:lastRenderedPageBreak/>
        <w:t xml:space="preserve">obowiązek stosowania upustu dla odbiorców z sektora małych i średnich przedsiębiorstw w przypadku zużycia przez tych odbiorców w okresie od 1 grudnia 2022 r. do 31 grudnia 2023 r. maksymalnie 90% wolumenu z okresu od dnia 1 grudnia 2021 r. do dnia 31 grudnia 2022 r. Wysokość upustu wynosić będzie 10% wartości rachunku za obrót energią elektryczną za okres od 1 grudnia 2022 do 31 grudnia 2023 r. z możliwością stosowania go w rozliczeniach ze sprzedawcą w roku 2024 i 2025. </w:t>
      </w:r>
    </w:p>
    <w:p w14:paraId="2251D02F" w14:textId="77777777" w:rsidR="000B3554" w:rsidRPr="000B3554" w:rsidRDefault="000B3554" w:rsidP="000B3554">
      <w:pPr>
        <w:numPr>
          <w:ilvl w:val="0"/>
          <w:numId w:val="9"/>
        </w:numPr>
        <w:spacing w:after="0" w:line="360" w:lineRule="auto"/>
        <w:jc w:val="both"/>
        <w:rPr>
          <w:rFonts w:ascii="Times New Roman" w:hAnsi="Times New Roman" w:cs="Times New Roman"/>
          <w:sz w:val="24"/>
          <w:szCs w:val="24"/>
        </w:rPr>
      </w:pPr>
      <w:r w:rsidRPr="000B3554">
        <w:rPr>
          <w:rFonts w:ascii="Times New Roman" w:hAnsi="Times New Roman" w:cs="Times New Roman"/>
          <w:sz w:val="24"/>
          <w:szCs w:val="24"/>
        </w:rPr>
        <w:t>wprowadzenie systemu rekompensat dla przedsiębiorstw obrotu, gdzie podmiotem odpowiedzialnym za wypłatę rekompensat będzie Zarządca Rozliczeń S.A.</w:t>
      </w:r>
    </w:p>
    <w:p w14:paraId="37AC6F38" w14:textId="77777777" w:rsidR="000B3554" w:rsidRPr="000B3554" w:rsidRDefault="000B3554" w:rsidP="000B3554">
      <w:pPr>
        <w:numPr>
          <w:ilvl w:val="0"/>
          <w:numId w:val="9"/>
        </w:numPr>
        <w:spacing w:after="0" w:line="360" w:lineRule="auto"/>
        <w:jc w:val="both"/>
        <w:rPr>
          <w:rFonts w:ascii="Times New Roman" w:hAnsi="Times New Roman" w:cs="Times New Roman"/>
          <w:sz w:val="24"/>
          <w:szCs w:val="24"/>
        </w:rPr>
      </w:pPr>
      <w:r w:rsidRPr="000B3554">
        <w:rPr>
          <w:rFonts w:ascii="Times New Roman" w:hAnsi="Times New Roman" w:cs="Times New Roman"/>
          <w:sz w:val="24"/>
          <w:szCs w:val="24"/>
        </w:rPr>
        <w:t>obowiązek stosowania przez Zarządcę Rozliczeń S.A. w rozliczeniach ze sprzedawcami rekompensaty w wysokości stanowiącej iloczyn ilości energii elektrycznej zużytej w danym miesiącu i różnicy pomiędzy ceną referencyjną miesięczną, a ceną maksymalną dla każdego punktu poboru energii elektrycznej (w przypadku, gdy cena referencyjna miesięczna jest w danym miesiącu wyższa od ceny maksymalnej i jednocześnie niższa od ceny zawartej w umowie sprzedaży),</w:t>
      </w:r>
    </w:p>
    <w:p w14:paraId="6D339082" w14:textId="77777777" w:rsidR="000B3554" w:rsidRPr="000B3554" w:rsidRDefault="000B3554" w:rsidP="000B3554">
      <w:pPr>
        <w:numPr>
          <w:ilvl w:val="0"/>
          <w:numId w:val="9"/>
        </w:numPr>
        <w:spacing w:after="0" w:line="360" w:lineRule="auto"/>
        <w:jc w:val="both"/>
        <w:rPr>
          <w:rFonts w:ascii="Times New Roman" w:hAnsi="Times New Roman" w:cs="Times New Roman"/>
          <w:sz w:val="24"/>
          <w:szCs w:val="24"/>
        </w:rPr>
      </w:pPr>
      <w:r w:rsidRPr="000B3554">
        <w:rPr>
          <w:rFonts w:ascii="Times New Roman" w:hAnsi="Times New Roman" w:cs="Times New Roman"/>
          <w:sz w:val="24"/>
          <w:szCs w:val="24"/>
        </w:rPr>
        <w:t>obowiązek stosowania przez Zarządcę Rozliczeń S.A. w rozliczeniach ze sprzedawcami rekompensaty w wysokości stanowiącej iloczyn ilości energii elektrycznej zużytej w danym miesiącu i różnicy pomiędzy ceną wynikającą z zawartej umowy sprzedaży a ceną maksymalną dla każdego punktu poboru energii elektrycznej - w przypadku gdy cena wynikająca z umowy sprzedaży jest wyższa niż cena maksymalna i niższa niż cena referencyjna miesięczna,</w:t>
      </w:r>
    </w:p>
    <w:p w14:paraId="6E3BAAE8" w14:textId="7055328D" w:rsidR="000B3554" w:rsidRPr="000B3554" w:rsidRDefault="000B3554" w:rsidP="000B3554">
      <w:pPr>
        <w:numPr>
          <w:ilvl w:val="0"/>
          <w:numId w:val="9"/>
        </w:numPr>
        <w:spacing w:after="0" w:line="360" w:lineRule="auto"/>
        <w:jc w:val="both"/>
        <w:rPr>
          <w:rFonts w:ascii="Times New Roman" w:hAnsi="Times New Roman" w:cs="Times New Roman"/>
          <w:sz w:val="24"/>
          <w:szCs w:val="24"/>
        </w:rPr>
      </w:pPr>
      <w:r w:rsidRPr="000B3554">
        <w:rPr>
          <w:rFonts w:ascii="Times New Roman" w:hAnsi="Times New Roman" w:cs="Times New Roman"/>
          <w:sz w:val="24"/>
          <w:szCs w:val="24"/>
        </w:rPr>
        <w:t xml:space="preserve">w odniesieniu do odbiorców w gospodarstwach domowych  – obowiązek stosowania przez Zarządcę Rozliczeń S.A. w rozliczeniach ze sprzedawcami rekompensaty w wysokości stanowiącej iloczyn ilości energii elektrycznej zużytej w danym miesiącu i różnicy pomiędzy </w:t>
      </w:r>
      <w:r w:rsidR="002E0D64">
        <w:rPr>
          <w:rFonts w:ascii="Times New Roman" w:hAnsi="Times New Roman" w:cs="Times New Roman"/>
          <w:sz w:val="24"/>
          <w:szCs w:val="24"/>
        </w:rPr>
        <w:t xml:space="preserve">tzw. ceną odniesienia tj. </w:t>
      </w:r>
      <w:r w:rsidRPr="000B3554">
        <w:rPr>
          <w:rFonts w:ascii="Times New Roman" w:hAnsi="Times New Roman" w:cs="Times New Roman"/>
          <w:sz w:val="24"/>
          <w:szCs w:val="24"/>
        </w:rPr>
        <w:t>ceną wynikającą z taryf zatwierdzonych przez Prezesa URE do stosowania na rok 2023, a ceną maksymalną dla każdego punktu poboru energii elektrycznej (w przypadku, gdy cena z taryfy jest wyższa od ceny maksymalnej)</w:t>
      </w:r>
      <w:r w:rsidR="002E0D64">
        <w:rPr>
          <w:rFonts w:ascii="Times New Roman" w:hAnsi="Times New Roman" w:cs="Times New Roman"/>
          <w:sz w:val="24"/>
          <w:szCs w:val="24"/>
        </w:rPr>
        <w:t>.</w:t>
      </w:r>
      <w:r w:rsidR="008B5065">
        <w:rPr>
          <w:rFonts w:ascii="Times New Roman" w:hAnsi="Times New Roman" w:cs="Times New Roman"/>
          <w:sz w:val="24"/>
          <w:szCs w:val="24"/>
        </w:rPr>
        <w:t xml:space="preserve"> </w:t>
      </w:r>
      <w:r w:rsidR="002E0D64">
        <w:rPr>
          <w:rFonts w:ascii="Times New Roman" w:hAnsi="Times New Roman" w:cs="Times New Roman"/>
          <w:sz w:val="24"/>
          <w:szCs w:val="24"/>
        </w:rPr>
        <w:t>W</w:t>
      </w:r>
      <w:r w:rsidR="008B5065">
        <w:rPr>
          <w:rFonts w:ascii="Times New Roman" w:hAnsi="Times New Roman" w:cs="Times New Roman"/>
          <w:sz w:val="24"/>
          <w:szCs w:val="24"/>
        </w:rPr>
        <w:t xml:space="preserve"> przypadku braku zatwierdzonej taryfy</w:t>
      </w:r>
      <w:r w:rsidR="002E0D64">
        <w:rPr>
          <w:rFonts w:ascii="Times New Roman" w:hAnsi="Times New Roman" w:cs="Times New Roman"/>
          <w:sz w:val="24"/>
          <w:szCs w:val="24"/>
        </w:rPr>
        <w:t xml:space="preserve"> przez przedsiębiorstwo obrotu energią elektryczną (braku ceny odniesienia) zastosowanie będą miały mechanizmy</w:t>
      </w:r>
      <w:r w:rsidR="008B5065">
        <w:rPr>
          <w:rFonts w:ascii="Times New Roman" w:hAnsi="Times New Roman" w:cs="Times New Roman"/>
          <w:sz w:val="24"/>
          <w:szCs w:val="24"/>
        </w:rPr>
        <w:t xml:space="preserve"> </w:t>
      </w:r>
      <w:r w:rsidR="002E0D64">
        <w:rPr>
          <w:rFonts w:ascii="Times New Roman" w:hAnsi="Times New Roman" w:cs="Times New Roman"/>
          <w:sz w:val="24"/>
          <w:szCs w:val="24"/>
        </w:rPr>
        <w:t xml:space="preserve">określone w </w:t>
      </w:r>
      <w:r w:rsidR="008B5065">
        <w:rPr>
          <w:rFonts w:ascii="Times New Roman" w:hAnsi="Times New Roman" w:cs="Times New Roman"/>
          <w:sz w:val="24"/>
          <w:szCs w:val="24"/>
        </w:rPr>
        <w:t xml:space="preserve">ustawie z dnia 7 października 2023 roku o szczególnych rozwiązaniach służących ochronie odbiorców energii elektrycznej w 2023 roku w związku z sytuacją na rynku energii elektrycznej. </w:t>
      </w:r>
    </w:p>
    <w:p w14:paraId="021884D7" w14:textId="2D77DA60" w:rsidR="000B3554" w:rsidRPr="000B3554" w:rsidRDefault="006B4A46" w:rsidP="006B4A46">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Na Towarową Giełdę Energii nakłada się </w:t>
      </w:r>
      <w:r w:rsidR="000B3554" w:rsidRPr="000B3554">
        <w:rPr>
          <w:rFonts w:ascii="Times New Roman" w:hAnsi="Times New Roman" w:cs="Times New Roman"/>
          <w:sz w:val="24"/>
          <w:szCs w:val="24"/>
        </w:rPr>
        <w:t>obowiązek publikacji wartości ceny referencyjnej w terminie 5 dni po zakończeniu miesiąca, obliczonej zgodnie ze wzorem:</w:t>
      </w:r>
    </w:p>
    <w:p w14:paraId="01ACD7A5" w14:textId="77777777" w:rsidR="000B3554" w:rsidRPr="00046012" w:rsidRDefault="000B3554" w:rsidP="000B3554">
      <w:pPr>
        <w:spacing w:after="0" w:line="360" w:lineRule="auto"/>
        <w:ind w:left="720"/>
        <w:jc w:val="both"/>
        <w:rPr>
          <w:rFonts w:ascii="Times New Roman" w:hAnsi="Times New Roman" w:cs="Times New Roman"/>
          <w:sz w:val="24"/>
          <w:szCs w:val="24"/>
          <w:lang w:val="en-GB"/>
        </w:rPr>
      </w:pPr>
      <w:r w:rsidRPr="00046012">
        <w:rPr>
          <w:rFonts w:ascii="Times New Roman" w:hAnsi="Times New Roman" w:cs="Times New Roman"/>
          <w:sz w:val="24"/>
          <w:szCs w:val="24"/>
          <w:lang w:val="en-GB"/>
        </w:rPr>
        <w:lastRenderedPageBreak/>
        <w:t>CR= 80% * TGeBase + 20% * TGePeak + PMOZE_A + PMOZE¬_BIO + PMEF + M</w:t>
      </w:r>
    </w:p>
    <w:p w14:paraId="5ED97683" w14:textId="77777777" w:rsidR="000B3554" w:rsidRPr="000B3554" w:rsidRDefault="000B3554" w:rsidP="000B3554">
      <w:pPr>
        <w:spacing w:after="0" w:line="360" w:lineRule="auto"/>
        <w:ind w:left="720"/>
        <w:jc w:val="both"/>
        <w:rPr>
          <w:rFonts w:ascii="Times New Roman" w:hAnsi="Times New Roman" w:cs="Times New Roman"/>
          <w:sz w:val="24"/>
          <w:szCs w:val="24"/>
        </w:rPr>
      </w:pPr>
      <w:r w:rsidRPr="000B3554">
        <w:rPr>
          <w:rFonts w:ascii="Times New Roman" w:hAnsi="Times New Roman" w:cs="Times New Roman"/>
          <w:sz w:val="24"/>
          <w:szCs w:val="24"/>
        </w:rPr>
        <w:t>gdzie:</w:t>
      </w:r>
    </w:p>
    <w:p w14:paraId="57A45873" w14:textId="77777777" w:rsidR="000B3554" w:rsidRPr="000B3554" w:rsidRDefault="000B3554" w:rsidP="000B3554">
      <w:pPr>
        <w:spacing w:after="0" w:line="360" w:lineRule="auto"/>
        <w:ind w:left="720"/>
        <w:jc w:val="both"/>
        <w:rPr>
          <w:rFonts w:ascii="Times New Roman" w:hAnsi="Times New Roman" w:cs="Times New Roman"/>
          <w:sz w:val="24"/>
          <w:szCs w:val="24"/>
        </w:rPr>
      </w:pPr>
      <w:r w:rsidRPr="000B3554">
        <w:rPr>
          <w:rFonts w:ascii="Times New Roman" w:hAnsi="Times New Roman" w:cs="Times New Roman"/>
          <w:sz w:val="24"/>
          <w:szCs w:val="24"/>
        </w:rPr>
        <w:t>CR –</w:t>
      </w:r>
      <w:r w:rsidRPr="000B3554">
        <w:rPr>
          <w:rFonts w:ascii="Times New Roman" w:hAnsi="Times New Roman" w:cs="Times New Roman"/>
          <w:sz w:val="24"/>
          <w:szCs w:val="24"/>
        </w:rPr>
        <w:tab/>
        <w:t>oznacza cenę referencyjną miesięczną [zł/MWh],</w:t>
      </w:r>
    </w:p>
    <w:p w14:paraId="56E2164F" w14:textId="77777777" w:rsidR="000B3554" w:rsidRPr="000B3554" w:rsidRDefault="000B3554" w:rsidP="000B3554">
      <w:pPr>
        <w:spacing w:after="0" w:line="360" w:lineRule="auto"/>
        <w:ind w:left="720"/>
        <w:jc w:val="both"/>
        <w:rPr>
          <w:rFonts w:ascii="Times New Roman" w:hAnsi="Times New Roman" w:cs="Times New Roman"/>
          <w:sz w:val="24"/>
          <w:szCs w:val="24"/>
        </w:rPr>
      </w:pPr>
      <w:r w:rsidRPr="000B3554">
        <w:rPr>
          <w:rFonts w:ascii="Times New Roman" w:hAnsi="Times New Roman" w:cs="Times New Roman"/>
          <w:sz w:val="24"/>
          <w:szCs w:val="24"/>
        </w:rPr>
        <w:t>C TGeBase –</w:t>
      </w:r>
      <w:r w:rsidRPr="000B3554">
        <w:rPr>
          <w:rFonts w:ascii="Times New Roman" w:hAnsi="Times New Roman" w:cs="Times New Roman"/>
          <w:sz w:val="24"/>
          <w:szCs w:val="24"/>
        </w:rPr>
        <w:tab/>
        <w:t>średnia ważona wolumenem obrotu dobowych indeksów TGeBase dla danego miesiąca dostawy energii elektrycznej publikowanych przez Towarową Giełdę Energii S.A. [zł/MWh],</w:t>
      </w:r>
    </w:p>
    <w:p w14:paraId="3A7EA912" w14:textId="77777777" w:rsidR="000B3554" w:rsidRPr="000B3554" w:rsidRDefault="000B3554" w:rsidP="000B3554">
      <w:pPr>
        <w:spacing w:after="0" w:line="360" w:lineRule="auto"/>
        <w:ind w:left="720"/>
        <w:jc w:val="both"/>
        <w:rPr>
          <w:rFonts w:ascii="Times New Roman" w:hAnsi="Times New Roman" w:cs="Times New Roman"/>
          <w:sz w:val="24"/>
          <w:szCs w:val="24"/>
        </w:rPr>
      </w:pPr>
      <w:r w:rsidRPr="000B3554">
        <w:rPr>
          <w:rFonts w:ascii="Times New Roman" w:hAnsi="Times New Roman" w:cs="Times New Roman"/>
          <w:sz w:val="24"/>
          <w:szCs w:val="24"/>
        </w:rPr>
        <w:t>C TGePeak – średnia ważona wolumenem obrotu dobowych indeksów TGePeak dla danego miesiąca dostawy energii elektrycznej publikowanych przez Towarową Giełdę Energii S.A [zł/MWh],</w:t>
      </w:r>
    </w:p>
    <w:p w14:paraId="2828DF3F" w14:textId="77777777" w:rsidR="000B3554" w:rsidRPr="000B3554" w:rsidRDefault="000B3554" w:rsidP="000B3554">
      <w:pPr>
        <w:spacing w:after="0" w:line="360" w:lineRule="auto"/>
        <w:ind w:left="720"/>
        <w:jc w:val="both"/>
        <w:rPr>
          <w:rFonts w:ascii="Times New Roman" w:hAnsi="Times New Roman" w:cs="Times New Roman"/>
          <w:sz w:val="24"/>
          <w:szCs w:val="24"/>
        </w:rPr>
      </w:pPr>
      <w:r w:rsidRPr="000B3554">
        <w:rPr>
          <w:rFonts w:ascii="Times New Roman" w:hAnsi="Times New Roman" w:cs="Times New Roman"/>
          <w:sz w:val="24"/>
          <w:szCs w:val="24"/>
        </w:rPr>
        <w:t>PMOZE_A –</w:t>
      </w:r>
      <w:r w:rsidRPr="000B3554">
        <w:rPr>
          <w:rFonts w:ascii="Times New Roman" w:hAnsi="Times New Roman" w:cs="Times New Roman"/>
          <w:sz w:val="24"/>
          <w:szCs w:val="24"/>
        </w:rPr>
        <w:tab/>
        <w:t xml:space="preserve"> jednostkowy rynkowy koszt umorzenia świadectw pochodzenia potwierdzających wytworzenie energii elektrycznej w odnawialnych źródłach energii wyznaczany jako iloczyn średnich ważonych wolumenem cen PMOZE_A [zł/MWh] z transakcji sesyjnych i pozasesyjnych zawartych w danym miesiącu publikowanych przez Towarową Giełdę Energii S.A. i minimalnej wielkości udziału ilościowego sumy energii elektrycznej wynikającej z umorzonych świadectw pochodzenia potwierdzających wytworzenie energii elektrycznej z odnawialnych źródeł energii w 2023 r. określonego w przepisach wykonawczych wydanych na podstawie art. 60 ustawy z dnia 20 lutego 2015 r. o odnawialnych źródłach energii (Dz. U. z 2022 r. poz. 1378 i 1383) zwanej dalej „ustawą o odnawialnych źródłach energii”,</w:t>
      </w:r>
    </w:p>
    <w:p w14:paraId="43094735" w14:textId="23961247" w:rsidR="000B3554" w:rsidRPr="000B3554" w:rsidRDefault="000B3554" w:rsidP="000B3554">
      <w:pPr>
        <w:spacing w:after="0" w:line="360" w:lineRule="auto"/>
        <w:ind w:left="720"/>
        <w:jc w:val="both"/>
        <w:rPr>
          <w:rFonts w:ascii="Times New Roman" w:hAnsi="Times New Roman" w:cs="Times New Roman"/>
          <w:sz w:val="24"/>
          <w:szCs w:val="24"/>
        </w:rPr>
      </w:pPr>
      <w:r w:rsidRPr="000B3554">
        <w:rPr>
          <w:rFonts w:ascii="Times New Roman" w:hAnsi="Times New Roman" w:cs="Times New Roman"/>
          <w:sz w:val="24"/>
          <w:szCs w:val="24"/>
        </w:rPr>
        <w:t xml:space="preserve">PMOZE_BIO </w:t>
      </w:r>
      <w:r w:rsidR="00BA4B84">
        <w:rPr>
          <w:rFonts w:ascii="Times New Roman" w:hAnsi="Times New Roman" w:cs="Times New Roman"/>
          <w:sz w:val="24"/>
          <w:szCs w:val="24"/>
        </w:rPr>
        <w:t xml:space="preserve">- </w:t>
      </w:r>
      <w:r w:rsidRPr="000B3554">
        <w:rPr>
          <w:rFonts w:ascii="Times New Roman" w:hAnsi="Times New Roman" w:cs="Times New Roman"/>
          <w:sz w:val="24"/>
          <w:szCs w:val="24"/>
        </w:rPr>
        <w:t>jednostkowy rynkowy koszt umorzenia świadectw pochodzenia potwierdzających wytworzenie energii elektrycznej w biogazowniach rolniczych wyznaczony jako iloczyn stawki opłaty zastępczej [zł/MWh] i minimalnej wielkości udziału ilościowego sumy energii elektrycznej wynikającej z umorzonych świadectw pochodzenia potwierdzających wytworzenie energii elektrycznej z odnawialnych źródeł energii w 2023 r. określonego w przepisach wykonawczych wydanych na podstawie art. 60 ustawy o odnawialnych źródłach energii,</w:t>
      </w:r>
    </w:p>
    <w:p w14:paraId="55FD957E" w14:textId="77777777" w:rsidR="000B3554" w:rsidRPr="000B3554" w:rsidRDefault="000B3554" w:rsidP="000B3554">
      <w:pPr>
        <w:spacing w:after="0" w:line="360" w:lineRule="auto"/>
        <w:ind w:left="720"/>
        <w:jc w:val="both"/>
        <w:rPr>
          <w:rFonts w:ascii="Times New Roman" w:hAnsi="Times New Roman" w:cs="Times New Roman"/>
          <w:sz w:val="24"/>
          <w:szCs w:val="24"/>
        </w:rPr>
      </w:pPr>
      <w:r w:rsidRPr="000B3554">
        <w:rPr>
          <w:rFonts w:ascii="Times New Roman" w:hAnsi="Times New Roman" w:cs="Times New Roman"/>
          <w:sz w:val="24"/>
          <w:szCs w:val="24"/>
        </w:rPr>
        <w:t>PMEF – jednostkowy rynkowy koszt umorzenia świadectw efektywności energetycznej wynikających z efektywności energetycznej wyznaczony jako iloczyn stawki opłaty zastępczej [zł/toe], o której mowa w art. 11 w ustawie z dnia 20 maja 2016 r. o efektywności energetycznej (Dz. U. z 2021 r. poz. 2166), przekształconej do jednostki [zł/MWh] i określonego procentowo wymaganego minimalnego obowiązku dla danego roku dostawy określonego w tej ustawie,</w:t>
      </w:r>
    </w:p>
    <w:p w14:paraId="7C5CE96C" w14:textId="0A437742" w:rsidR="000B3554" w:rsidRDefault="000B3554" w:rsidP="000B3554">
      <w:pPr>
        <w:spacing w:after="0" w:line="360" w:lineRule="auto"/>
        <w:ind w:left="720"/>
        <w:jc w:val="both"/>
        <w:rPr>
          <w:rFonts w:ascii="Times New Roman" w:hAnsi="Times New Roman" w:cs="Times New Roman"/>
          <w:sz w:val="24"/>
          <w:szCs w:val="24"/>
        </w:rPr>
      </w:pPr>
      <w:r w:rsidRPr="000B3554">
        <w:rPr>
          <w:rFonts w:ascii="Times New Roman" w:hAnsi="Times New Roman" w:cs="Times New Roman"/>
          <w:sz w:val="24"/>
          <w:szCs w:val="24"/>
        </w:rPr>
        <w:t>M - marża pokrywająca koszty zaangażowanego kapitału, równa 3% sumy pozostałych składników</w:t>
      </w:r>
      <w:r w:rsidR="00662D41">
        <w:rPr>
          <w:rFonts w:ascii="Times New Roman" w:hAnsi="Times New Roman" w:cs="Times New Roman"/>
          <w:sz w:val="24"/>
          <w:szCs w:val="24"/>
        </w:rPr>
        <w:t>.</w:t>
      </w:r>
    </w:p>
    <w:p w14:paraId="1373CE98" w14:textId="77777777" w:rsidR="000B3554" w:rsidRPr="000B3554" w:rsidRDefault="000B3554" w:rsidP="000B3554">
      <w:pPr>
        <w:spacing w:after="0" w:line="360" w:lineRule="auto"/>
        <w:jc w:val="both"/>
        <w:rPr>
          <w:rFonts w:ascii="Times New Roman" w:hAnsi="Times New Roman" w:cs="Times New Roman"/>
          <w:sz w:val="24"/>
          <w:szCs w:val="24"/>
        </w:rPr>
      </w:pPr>
    </w:p>
    <w:p w14:paraId="5CC96885" w14:textId="3A479046" w:rsidR="000B3554" w:rsidRDefault="000B3554" w:rsidP="000B3554">
      <w:pPr>
        <w:spacing w:after="0" w:line="360" w:lineRule="auto"/>
        <w:jc w:val="both"/>
        <w:rPr>
          <w:rFonts w:ascii="Times New Roman" w:hAnsi="Times New Roman" w:cs="Times New Roman"/>
          <w:sz w:val="24"/>
          <w:szCs w:val="24"/>
        </w:rPr>
      </w:pPr>
      <w:r w:rsidRPr="000B3554">
        <w:rPr>
          <w:rFonts w:ascii="Times New Roman" w:hAnsi="Times New Roman" w:cs="Times New Roman"/>
          <w:sz w:val="24"/>
          <w:szCs w:val="24"/>
        </w:rPr>
        <w:t xml:space="preserve">Cena maksymalna za obrót energią elektryczną będzie przysługiwała odbiorcom uprawnionym w odniesieniu do ich zużycia w okresie 1.12.2022-31.12.2023. Wyjątkiem od tej reguły będzie zużycie wobec odbiorców w gospodarstwach domowych, w odniesieniu do których cena maksymalna obowiązywać będzie w okresie od 1.01.2023-31.12.2023 dla wolumenu powyżej limitu przyznanego im zgodnie z przepisami ustawy z dnia 7 października 2022 r. o szczególnych rozwiązaniach służących ochronie odbiorców energii elektrycznej w 2023 roku w związku z sytuacją na rynku energii elektrycznej. </w:t>
      </w:r>
    </w:p>
    <w:p w14:paraId="66769F8D" w14:textId="4186B70E" w:rsidR="00662D41" w:rsidRPr="000B3554" w:rsidRDefault="00662D41" w:rsidP="000B3554">
      <w:pPr>
        <w:spacing w:after="0" w:line="360" w:lineRule="auto"/>
        <w:jc w:val="both"/>
        <w:rPr>
          <w:rFonts w:ascii="Times New Roman" w:hAnsi="Times New Roman" w:cs="Times New Roman"/>
          <w:sz w:val="24"/>
          <w:szCs w:val="24"/>
        </w:rPr>
      </w:pPr>
      <w:r w:rsidRPr="00662D41">
        <w:rPr>
          <w:rFonts w:ascii="Times New Roman" w:hAnsi="Times New Roman" w:cs="Times New Roman"/>
          <w:sz w:val="24"/>
          <w:szCs w:val="24"/>
        </w:rPr>
        <w:t>Sprzedawcy, którzy zobowiąz</w:t>
      </w:r>
      <w:r>
        <w:rPr>
          <w:rFonts w:ascii="Times New Roman" w:hAnsi="Times New Roman" w:cs="Times New Roman"/>
          <w:sz w:val="24"/>
          <w:szCs w:val="24"/>
        </w:rPr>
        <w:t>ali</w:t>
      </w:r>
      <w:r w:rsidRPr="00662D41">
        <w:rPr>
          <w:rFonts w:ascii="Times New Roman" w:hAnsi="Times New Roman" w:cs="Times New Roman"/>
          <w:sz w:val="24"/>
          <w:szCs w:val="24"/>
        </w:rPr>
        <w:t xml:space="preserve"> się do utrzymania niezmiennej ceny energii elektrycznej </w:t>
      </w:r>
      <w:r>
        <w:rPr>
          <w:rFonts w:ascii="Times New Roman" w:hAnsi="Times New Roman" w:cs="Times New Roman"/>
          <w:sz w:val="24"/>
          <w:szCs w:val="24"/>
        </w:rPr>
        <w:t xml:space="preserve">dla gospodarstw domowych </w:t>
      </w:r>
      <w:r w:rsidRPr="00662D41">
        <w:rPr>
          <w:rFonts w:ascii="Times New Roman" w:hAnsi="Times New Roman" w:cs="Times New Roman"/>
          <w:sz w:val="24"/>
          <w:szCs w:val="24"/>
        </w:rPr>
        <w:t>przez cały albo część okresu od dnia 1 grudnia 2022 r. do 31 grudnia 2023 r.</w:t>
      </w:r>
      <w:r>
        <w:rPr>
          <w:rFonts w:ascii="Times New Roman" w:hAnsi="Times New Roman" w:cs="Times New Roman"/>
          <w:sz w:val="24"/>
          <w:szCs w:val="24"/>
        </w:rPr>
        <w:t xml:space="preserve"> stosują cenę ustaloną w umowie (nie ma zastosowania cena maksymalna).</w:t>
      </w:r>
    </w:p>
    <w:p w14:paraId="35BBA536" w14:textId="77777777" w:rsidR="000B3554" w:rsidRPr="000B3554" w:rsidRDefault="000B3554" w:rsidP="000B3554">
      <w:pPr>
        <w:spacing w:after="0" w:line="360" w:lineRule="auto"/>
        <w:jc w:val="both"/>
        <w:rPr>
          <w:rFonts w:ascii="Times New Roman" w:hAnsi="Times New Roman" w:cs="Times New Roman"/>
          <w:sz w:val="24"/>
          <w:szCs w:val="24"/>
        </w:rPr>
      </w:pPr>
      <w:r w:rsidRPr="000B3554">
        <w:rPr>
          <w:rFonts w:ascii="Times New Roman" w:hAnsi="Times New Roman" w:cs="Times New Roman"/>
          <w:sz w:val="24"/>
          <w:szCs w:val="24"/>
        </w:rPr>
        <w:t>Celem kwalifikacji odbiorcy jako odbiorcy uprawnionego w rozumieniu niniejszej ustawy (z wyjątkiem odbiorców uprawnionych, o których mowa w art. 2 pkt 1 ustawy z dnia 7 października 2022 r. o szczególnych rozwiązaniach służących ochronie odbiorców energii elektrycznej w 2023 roku w związku z sytuacją na rynku energii elektrycznej), niezbędne będzie złożenie przez tego odbiorcę oświadczenia. Oświadczenie składane będzie podmiotom uprawnionym (przedsiębiorstwom energetycznym wykonującym działalność gospodarczą w zakresie obrotu energią elektryczną).</w:t>
      </w:r>
    </w:p>
    <w:p w14:paraId="7ABDDBDC" w14:textId="77777777" w:rsidR="000B3554" w:rsidRPr="000B3554" w:rsidRDefault="000B3554" w:rsidP="000B3554">
      <w:pPr>
        <w:spacing w:after="0" w:line="360" w:lineRule="auto"/>
        <w:jc w:val="both"/>
        <w:rPr>
          <w:rFonts w:ascii="Times New Roman" w:hAnsi="Times New Roman" w:cs="Times New Roman"/>
          <w:sz w:val="24"/>
          <w:szCs w:val="24"/>
        </w:rPr>
      </w:pPr>
      <w:r w:rsidRPr="000B3554">
        <w:rPr>
          <w:rFonts w:ascii="Times New Roman" w:hAnsi="Times New Roman" w:cs="Times New Roman"/>
          <w:sz w:val="24"/>
          <w:szCs w:val="24"/>
        </w:rPr>
        <w:t>Wysokość rekompensat będzie obliczana przez sprzedawców energii. Będą one przysługiwały za każdy miesiąc kalendarzowy od dnia rozpoczęcia stosowania przez podmiot uprawniony w rozliczeniach z odbiorcami uprawnionymi maksymalnych cen za obrót energią elektryczną. Celem zapewnienia płynności finansowej spółek obrotu, w projektowanej regulacji przewidziano możliwość wypłat zaliczek na poczet rekompensat za styczeń i luty 2023 r. Wprowadzono również w projektowanej regulacji zapisy rozliczenia rekompensat w przypadku umów zawartych przed dniem wejścia w życie ustawy, a dotyczących dostaw zarówno w okresie pomiędzy 24 lutego 2022 r., a wejściem w życie ustawy jak i po tym terminie.</w:t>
      </w:r>
    </w:p>
    <w:p w14:paraId="3018981D" w14:textId="77777777" w:rsidR="000B3554" w:rsidRDefault="000B3554" w:rsidP="000B3554">
      <w:pPr>
        <w:widowControl w:val="0"/>
        <w:autoSpaceDE w:val="0"/>
        <w:autoSpaceDN w:val="0"/>
        <w:adjustRightInd w:val="0"/>
        <w:spacing w:after="0" w:line="360" w:lineRule="auto"/>
        <w:jc w:val="both"/>
        <w:rPr>
          <w:rFonts w:ascii="Times New Roman" w:hAnsi="Times New Roman" w:cs="Times New Roman"/>
          <w:sz w:val="24"/>
          <w:szCs w:val="24"/>
        </w:rPr>
      </w:pPr>
      <w:r w:rsidRPr="000B3554">
        <w:rPr>
          <w:rFonts w:ascii="Times New Roman" w:hAnsi="Times New Roman" w:cs="Times New Roman"/>
          <w:sz w:val="24"/>
          <w:szCs w:val="24"/>
        </w:rPr>
        <w:t>Projektowana regulacja zawiera również procedurę określającą termin, zakres i tryb składania wniosków o wypłatę rekompensaty oraz zasady ich weryfikacji przez Zarządcę Rozliczeń S.A. Ponadto, wskazano zasady składania przez sprzedawców do Zarządcy Rozliczeń S.A. wniosków o rozliczenie rekompensat.</w:t>
      </w:r>
    </w:p>
    <w:p w14:paraId="2843DCEB" w14:textId="6945A6B0" w:rsidR="00D0407E" w:rsidRPr="00623115" w:rsidRDefault="006C6C12" w:rsidP="000B3554">
      <w:pPr>
        <w:widowControl w:val="0"/>
        <w:autoSpaceDE w:val="0"/>
        <w:autoSpaceDN w:val="0"/>
        <w:adjustRightInd w:val="0"/>
        <w:spacing w:after="0" w:line="360" w:lineRule="auto"/>
        <w:jc w:val="both"/>
        <w:rPr>
          <w:rFonts w:ascii="Times New Roman" w:hAnsi="Times New Roman" w:cs="Times New Roman"/>
          <w:b/>
          <w:bCs/>
          <w:sz w:val="24"/>
          <w:szCs w:val="24"/>
          <w:u w:val="single"/>
        </w:rPr>
      </w:pPr>
      <w:r w:rsidRPr="00623115">
        <w:rPr>
          <w:rFonts w:ascii="Times New Roman" w:hAnsi="Times New Roman" w:cs="Times New Roman"/>
          <w:b/>
          <w:bCs/>
          <w:sz w:val="24"/>
          <w:szCs w:val="24"/>
          <w:u w:val="single"/>
        </w:rPr>
        <w:t>Rynek hurtowy i ograniczenie przychodów niektórych wytwórców energii elektrycznej i przedsiębiorstw obrotu</w:t>
      </w:r>
    </w:p>
    <w:p w14:paraId="04FE21FB" w14:textId="34E86D48" w:rsidR="00D0407E" w:rsidRPr="00D0407E" w:rsidRDefault="00D0407E" w:rsidP="00D0407E">
      <w:pPr>
        <w:widowControl w:val="0"/>
        <w:autoSpaceDE w:val="0"/>
        <w:autoSpaceDN w:val="0"/>
        <w:adjustRightInd w:val="0"/>
        <w:spacing w:after="0" w:line="360" w:lineRule="auto"/>
        <w:jc w:val="both"/>
        <w:rPr>
          <w:rFonts w:ascii="Times New Roman" w:hAnsi="Times New Roman" w:cs="Times New Roman"/>
          <w:sz w:val="24"/>
          <w:szCs w:val="24"/>
        </w:rPr>
      </w:pPr>
      <w:r w:rsidRPr="00D0407E">
        <w:rPr>
          <w:rFonts w:ascii="Times New Roman" w:hAnsi="Times New Roman" w:cs="Times New Roman"/>
          <w:sz w:val="24"/>
          <w:szCs w:val="24"/>
        </w:rPr>
        <w:t xml:space="preserve">W zakresie ingerencji na rynku hurtowym energii elektrycznej, w projektowanej ustawie proponuje się wprowadzenie mechanizmu polegającego na ograniczeniu przychodów </w:t>
      </w:r>
      <w:bookmarkStart w:id="5" w:name="_Hlk116311331"/>
      <w:r w:rsidRPr="00D0407E">
        <w:rPr>
          <w:rFonts w:ascii="Times New Roman" w:hAnsi="Times New Roman" w:cs="Times New Roman"/>
          <w:sz w:val="24"/>
          <w:szCs w:val="24"/>
        </w:rPr>
        <w:lastRenderedPageBreak/>
        <w:t xml:space="preserve">niektórych wytwórców energii elektrycznej i przedsiębiorstw obrotu </w:t>
      </w:r>
      <w:bookmarkEnd w:id="5"/>
      <w:r w:rsidRPr="00D0407E">
        <w:rPr>
          <w:rFonts w:ascii="Times New Roman" w:hAnsi="Times New Roman" w:cs="Times New Roman"/>
          <w:sz w:val="24"/>
          <w:szCs w:val="24"/>
        </w:rPr>
        <w:t>(</w:t>
      </w:r>
      <w:r w:rsidR="00FD0A64">
        <w:rPr>
          <w:rFonts w:ascii="Times New Roman" w:hAnsi="Times New Roman" w:cs="Times New Roman"/>
          <w:sz w:val="24"/>
          <w:szCs w:val="24"/>
        </w:rPr>
        <w:t>rozwiązanie zgodne z</w:t>
      </w:r>
      <w:r w:rsidR="00B36927">
        <w:rPr>
          <w:rFonts w:ascii="Times New Roman" w:hAnsi="Times New Roman" w:cs="Times New Roman"/>
          <w:sz w:val="24"/>
          <w:szCs w:val="24"/>
        </w:rPr>
        <w:t xml:space="preserve"> </w:t>
      </w:r>
      <w:r w:rsidR="00046012">
        <w:rPr>
          <w:rFonts w:ascii="Times New Roman" w:hAnsi="Times New Roman" w:cs="Times New Roman"/>
          <w:sz w:val="24"/>
          <w:szCs w:val="24"/>
        </w:rPr>
        <w:t xml:space="preserve">przyjętym </w:t>
      </w:r>
      <w:r w:rsidR="00FD315E">
        <w:rPr>
          <w:rFonts w:ascii="Times New Roman" w:hAnsi="Times New Roman" w:cs="Times New Roman"/>
          <w:i/>
          <w:iCs/>
          <w:sz w:val="24"/>
          <w:szCs w:val="24"/>
        </w:rPr>
        <w:t>r</w:t>
      </w:r>
      <w:r w:rsidRPr="00D0407E">
        <w:rPr>
          <w:rFonts w:ascii="Times New Roman" w:hAnsi="Times New Roman" w:cs="Times New Roman"/>
          <w:i/>
          <w:iCs/>
          <w:sz w:val="24"/>
          <w:szCs w:val="24"/>
        </w:rPr>
        <w:t>ozporządzenie</w:t>
      </w:r>
      <w:r w:rsidR="00FD0A64">
        <w:rPr>
          <w:rFonts w:ascii="Times New Roman" w:hAnsi="Times New Roman" w:cs="Times New Roman"/>
          <w:i/>
          <w:iCs/>
          <w:sz w:val="24"/>
          <w:szCs w:val="24"/>
        </w:rPr>
        <w:t>m</w:t>
      </w:r>
      <w:r w:rsidRPr="00D0407E">
        <w:rPr>
          <w:rFonts w:ascii="Times New Roman" w:hAnsi="Times New Roman" w:cs="Times New Roman"/>
          <w:i/>
          <w:iCs/>
          <w:sz w:val="24"/>
          <w:szCs w:val="24"/>
        </w:rPr>
        <w:t xml:space="preserve"> </w:t>
      </w:r>
      <w:r w:rsidR="00FD315E" w:rsidRPr="00FD315E">
        <w:rPr>
          <w:rFonts w:ascii="Times New Roman" w:hAnsi="Times New Roman" w:cs="Times New Roman"/>
          <w:i/>
          <w:iCs/>
          <w:sz w:val="24"/>
          <w:szCs w:val="24"/>
        </w:rPr>
        <w:t>Rady (UE) 2022/1854 z dnia 6 października 2022 r. w sprawie interwencji w sytuacji nadzwyczajnej w celu rozwiązania problemu wysokich cen energii (Dz. Urz. UE LI 261 z 7.10.2022, str. 1</w:t>
      </w:r>
      <w:r w:rsidRPr="00D0407E">
        <w:rPr>
          <w:rFonts w:ascii="Times New Roman" w:hAnsi="Times New Roman" w:cs="Times New Roman"/>
          <w:i/>
          <w:iCs/>
          <w:sz w:val="24"/>
          <w:szCs w:val="24"/>
        </w:rPr>
        <w:t>)</w:t>
      </w:r>
      <w:r w:rsidR="00FD315E">
        <w:rPr>
          <w:rFonts w:ascii="Times New Roman" w:hAnsi="Times New Roman" w:cs="Times New Roman"/>
          <w:i/>
          <w:iCs/>
          <w:sz w:val="24"/>
          <w:szCs w:val="24"/>
        </w:rPr>
        <w:t>)</w:t>
      </w:r>
      <w:r w:rsidRPr="00D0407E">
        <w:rPr>
          <w:rFonts w:ascii="Times New Roman" w:hAnsi="Times New Roman" w:cs="Times New Roman"/>
          <w:sz w:val="24"/>
          <w:szCs w:val="24"/>
        </w:rPr>
        <w:t>.</w:t>
      </w:r>
    </w:p>
    <w:p w14:paraId="246A4319" w14:textId="72A0C86D" w:rsidR="00D0407E" w:rsidRPr="00D0407E" w:rsidRDefault="00D0407E" w:rsidP="00D0407E">
      <w:pPr>
        <w:widowControl w:val="0"/>
        <w:numPr>
          <w:ilvl w:val="0"/>
          <w:numId w:val="17"/>
        </w:numPr>
        <w:autoSpaceDE w:val="0"/>
        <w:autoSpaceDN w:val="0"/>
        <w:adjustRightInd w:val="0"/>
        <w:spacing w:after="0" w:line="360" w:lineRule="auto"/>
        <w:jc w:val="both"/>
        <w:rPr>
          <w:rFonts w:ascii="Times New Roman" w:hAnsi="Times New Roman" w:cs="Times New Roman"/>
          <w:sz w:val="24"/>
          <w:szCs w:val="24"/>
        </w:rPr>
      </w:pPr>
      <w:r w:rsidRPr="00D0407E">
        <w:rPr>
          <w:rFonts w:ascii="Times New Roman" w:hAnsi="Times New Roman" w:cs="Times New Roman"/>
          <w:sz w:val="24"/>
          <w:szCs w:val="24"/>
        </w:rPr>
        <w:t>Dla wytwórców energii elektrycznej wykorzystujących do wytwarzania energii elektrycznej: energię wiatru, energię promieniowania słonecznego, energię geotermalną, hydroenergię</w:t>
      </w:r>
      <w:r w:rsidRPr="00537428">
        <w:rPr>
          <w:rFonts w:ascii="Times New Roman" w:hAnsi="Times New Roman" w:cs="Times New Roman"/>
          <w:sz w:val="24"/>
          <w:szCs w:val="24"/>
        </w:rPr>
        <w:t>, biomasę, biogaz, biogaz rolniczy</w:t>
      </w:r>
      <w:r w:rsidRPr="00D0407E">
        <w:rPr>
          <w:rFonts w:ascii="Times New Roman" w:hAnsi="Times New Roman" w:cs="Times New Roman"/>
          <w:sz w:val="24"/>
          <w:szCs w:val="24"/>
        </w:rPr>
        <w:t xml:space="preserve"> oraz biopłyny, z wyjątkiem biometanu, odpady, węgiel brunatny, paliwa ciekłe, węgiel kamienny, paliwa gazowe, a także dla przedsiębiorstw energetycznych wykonujących działalność gospodarczą w zakresie obrotu energią elektryczną nakłada się obowiązek przekazania </w:t>
      </w:r>
      <w:r w:rsidR="00FD315E">
        <w:rPr>
          <w:rFonts w:ascii="Times New Roman" w:hAnsi="Times New Roman" w:cs="Times New Roman"/>
          <w:sz w:val="24"/>
          <w:szCs w:val="24"/>
        </w:rPr>
        <w:t>odpisu na Fundusz</w:t>
      </w:r>
      <w:r w:rsidRPr="00D0407E">
        <w:rPr>
          <w:rFonts w:ascii="Times New Roman" w:hAnsi="Times New Roman" w:cs="Times New Roman"/>
          <w:sz w:val="24"/>
          <w:szCs w:val="24"/>
        </w:rPr>
        <w:t>, będące</w:t>
      </w:r>
      <w:r w:rsidR="00FD315E">
        <w:rPr>
          <w:rFonts w:ascii="Times New Roman" w:hAnsi="Times New Roman" w:cs="Times New Roman"/>
          <w:sz w:val="24"/>
          <w:szCs w:val="24"/>
        </w:rPr>
        <w:t>go</w:t>
      </w:r>
      <w:r w:rsidRPr="00D0407E">
        <w:rPr>
          <w:rFonts w:ascii="Times New Roman" w:hAnsi="Times New Roman" w:cs="Times New Roman"/>
          <w:sz w:val="24"/>
          <w:szCs w:val="24"/>
        </w:rPr>
        <w:t xml:space="preserve"> nadmiarowym przychodem, zgodnie z przyjętym w ustawie sposobem obliczania.</w:t>
      </w:r>
    </w:p>
    <w:p w14:paraId="1B9CD04E" w14:textId="7F29823F" w:rsidR="00D0407E" w:rsidRPr="00D0407E" w:rsidRDefault="00D0407E" w:rsidP="00D0407E">
      <w:pPr>
        <w:widowControl w:val="0"/>
        <w:numPr>
          <w:ilvl w:val="0"/>
          <w:numId w:val="17"/>
        </w:numPr>
        <w:autoSpaceDE w:val="0"/>
        <w:autoSpaceDN w:val="0"/>
        <w:adjustRightInd w:val="0"/>
        <w:spacing w:after="0" w:line="360" w:lineRule="auto"/>
        <w:jc w:val="both"/>
        <w:rPr>
          <w:rFonts w:ascii="Times New Roman" w:hAnsi="Times New Roman" w:cs="Times New Roman"/>
          <w:sz w:val="24"/>
          <w:szCs w:val="24"/>
        </w:rPr>
      </w:pPr>
      <w:r w:rsidRPr="00D0407E">
        <w:rPr>
          <w:rFonts w:ascii="Times New Roman" w:hAnsi="Times New Roman" w:cs="Times New Roman"/>
          <w:sz w:val="24"/>
          <w:szCs w:val="24"/>
        </w:rPr>
        <w:t xml:space="preserve">Wyłączeni z powyższego obowiązku zostają wytwórcy wytwarzający w jednostce wytwórczej: o mocy zainstalowanej elektrycznej nie większej niż 1 MW, będącej projektem demonstracyjnym, będącej instalacją odnawialnego źródła energii, w odniesieniu do której wytwórca energii elektrycznej z odnawialnych źródeł energii w tej instalacji korzysta z: systemu wsparcia albo z systemu aukcyjnego,  </w:t>
      </w:r>
    </w:p>
    <w:p w14:paraId="69EFF8FB" w14:textId="53B53307" w:rsidR="00D0407E" w:rsidRPr="00D0407E" w:rsidRDefault="00FD315E" w:rsidP="00D0407E">
      <w:pPr>
        <w:widowControl w:val="0"/>
        <w:numPr>
          <w:ilvl w:val="0"/>
          <w:numId w:val="1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Odpis na Fundusz, tj. k</w:t>
      </w:r>
      <w:r w:rsidR="00D0407E" w:rsidRPr="00D0407E">
        <w:rPr>
          <w:rFonts w:ascii="Times New Roman" w:hAnsi="Times New Roman" w:cs="Times New Roman"/>
          <w:sz w:val="24"/>
          <w:szCs w:val="24"/>
        </w:rPr>
        <w:t>wota, będąca podstawą proponowanego mechanizmu, stanowi iloczyn sumy wolumenu sprzedaży energii elektrycznej w danym dniu oraz dodatniej różnicy średniej ważonej wolumenem ceny rynkowej sprzedanej energii elektrycznej w danym dniu oraz średniej ważonej wolumenem limitu ceny sprzedanej energii elektrycznej w danym dniu. Szczegółowy sposób obliczania limitu ceny, uwzględniający poszczególne technologie wytwarzania, zostanie ustalony w drodze Rozporządzenia</w:t>
      </w:r>
      <w:r w:rsidR="00046012">
        <w:rPr>
          <w:rFonts w:ascii="Times New Roman" w:hAnsi="Times New Roman" w:cs="Times New Roman"/>
          <w:sz w:val="24"/>
          <w:szCs w:val="24"/>
        </w:rPr>
        <w:t xml:space="preserve"> Rady Ministrów</w:t>
      </w:r>
      <w:r w:rsidR="00D0407E" w:rsidRPr="00D0407E">
        <w:rPr>
          <w:rFonts w:ascii="Times New Roman" w:hAnsi="Times New Roman" w:cs="Times New Roman"/>
          <w:sz w:val="24"/>
          <w:szCs w:val="24"/>
        </w:rPr>
        <w:t xml:space="preserve">. </w:t>
      </w:r>
    </w:p>
    <w:p w14:paraId="362F9B50" w14:textId="0FD73ECB" w:rsidR="00D0407E" w:rsidRPr="00D0407E" w:rsidRDefault="00D0407E" w:rsidP="00D0407E">
      <w:pPr>
        <w:widowControl w:val="0"/>
        <w:numPr>
          <w:ilvl w:val="0"/>
          <w:numId w:val="17"/>
        </w:numPr>
        <w:autoSpaceDE w:val="0"/>
        <w:autoSpaceDN w:val="0"/>
        <w:adjustRightInd w:val="0"/>
        <w:spacing w:after="0" w:line="360" w:lineRule="auto"/>
        <w:jc w:val="both"/>
        <w:rPr>
          <w:rFonts w:ascii="Times New Roman" w:hAnsi="Times New Roman" w:cs="Times New Roman"/>
          <w:sz w:val="24"/>
          <w:szCs w:val="24"/>
        </w:rPr>
      </w:pPr>
      <w:r w:rsidRPr="00D0407E">
        <w:rPr>
          <w:rFonts w:ascii="Times New Roman" w:hAnsi="Times New Roman" w:cs="Times New Roman"/>
          <w:sz w:val="24"/>
          <w:szCs w:val="24"/>
        </w:rPr>
        <w:t xml:space="preserve">Podmioty zobowiązane do przekazywania </w:t>
      </w:r>
      <w:r w:rsidR="00FD315E">
        <w:rPr>
          <w:rFonts w:ascii="Times New Roman" w:hAnsi="Times New Roman" w:cs="Times New Roman"/>
          <w:sz w:val="24"/>
          <w:szCs w:val="24"/>
        </w:rPr>
        <w:t>odpisu na Fundusz</w:t>
      </w:r>
      <w:r w:rsidRPr="00D0407E">
        <w:rPr>
          <w:rFonts w:ascii="Times New Roman" w:hAnsi="Times New Roman" w:cs="Times New Roman"/>
          <w:sz w:val="24"/>
          <w:szCs w:val="24"/>
        </w:rPr>
        <w:t xml:space="preserve"> za dany miesiąc kalendarzowy przekazują je do Funduszu Wypłaty Różnicy Ceny w terminie do 5 dnia każdego miesiąca następującego po miesiącu rozliczenia, w zakresie tych kwot, które dotyczą umów sprzedaży energii elektrycznej na rynku hurtowym, za które została zrealizowana płatność. Ponadto, w terminie do 20 dnia każdego miesiąca, przekazują do Zarządcy Rozliczeń, sprawozdanie potwierdzające powyższe kwoty, które ten następnie weryfikuje pod kątem braków formalnych lub błędów obliczeniowych. Wytwórcy oraz przedsiębiorstwa obrotu korygują ewentualne niezgodności, a w przypadku nieusunięcia tychże niezgodności lub negatywnej weryfikacji sprawozdania </w:t>
      </w:r>
      <w:r w:rsidRPr="00D0407E">
        <w:rPr>
          <w:rFonts w:ascii="Times New Roman" w:hAnsi="Times New Roman" w:cs="Times New Roman"/>
          <w:sz w:val="24"/>
          <w:szCs w:val="24"/>
        </w:rPr>
        <w:lastRenderedPageBreak/>
        <w:t xml:space="preserve">Zarządca rozliczeń przekazuje informacje o ich wystąpieniu do Prezesa URE. </w:t>
      </w:r>
    </w:p>
    <w:p w14:paraId="5B6615A4" w14:textId="579D3611" w:rsidR="00D0407E" w:rsidRPr="00D0407E" w:rsidRDefault="00D0407E" w:rsidP="00D0407E">
      <w:pPr>
        <w:widowControl w:val="0"/>
        <w:numPr>
          <w:ilvl w:val="0"/>
          <w:numId w:val="17"/>
        </w:numPr>
        <w:autoSpaceDE w:val="0"/>
        <w:autoSpaceDN w:val="0"/>
        <w:adjustRightInd w:val="0"/>
        <w:spacing w:after="0" w:line="360" w:lineRule="auto"/>
        <w:jc w:val="both"/>
        <w:rPr>
          <w:rFonts w:ascii="Times New Roman" w:hAnsi="Times New Roman" w:cs="Times New Roman"/>
          <w:sz w:val="24"/>
          <w:szCs w:val="24"/>
        </w:rPr>
      </w:pPr>
      <w:r w:rsidRPr="00D0407E">
        <w:rPr>
          <w:rFonts w:ascii="Times New Roman" w:hAnsi="Times New Roman" w:cs="Times New Roman"/>
          <w:sz w:val="24"/>
          <w:szCs w:val="24"/>
        </w:rPr>
        <w:t xml:space="preserve">Prezes URE ma prawo do przeprowadzenia kontroli zgodności informacji i oświadczeń złożonych w sprawozdaniach, zarówno z własnej inicjatywy lub na wniosek zarządcy rozliczeń. W przypadku gdy Prezes URE stwierdzi niezgodność sprawozdania ze stanem faktycznym wydaje decyzje o obowiązku dopłaty przekazanej na rachunek Funduszu Wypłaty Różnicy Ceny, pomniejszenia </w:t>
      </w:r>
      <w:r w:rsidR="00FD315E">
        <w:rPr>
          <w:rFonts w:ascii="Times New Roman" w:hAnsi="Times New Roman" w:cs="Times New Roman"/>
          <w:sz w:val="24"/>
          <w:szCs w:val="24"/>
        </w:rPr>
        <w:t>odpis na Fundusz</w:t>
      </w:r>
      <w:r w:rsidRPr="00D0407E">
        <w:rPr>
          <w:rFonts w:ascii="Times New Roman" w:hAnsi="Times New Roman" w:cs="Times New Roman"/>
          <w:sz w:val="24"/>
          <w:szCs w:val="24"/>
        </w:rPr>
        <w:t xml:space="preserve"> w miesiącu następującym lub przekazaniu kwoty z rachunku Funduszy na rzecz danego podmiotu składającego sprawozdanie. </w:t>
      </w:r>
    </w:p>
    <w:p w14:paraId="76591CA7" w14:textId="77777777" w:rsidR="00D0407E" w:rsidRPr="00D0407E" w:rsidRDefault="00D0407E" w:rsidP="00D0407E">
      <w:pPr>
        <w:widowControl w:val="0"/>
        <w:numPr>
          <w:ilvl w:val="0"/>
          <w:numId w:val="17"/>
        </w:numPr>
        <w:autoSpaceDE w:val="0"/>
        <w:autoSpaceDN w:val="0"/>
        <w:adjustRightInd w:val="0"/>
        <w:spacing w:after="0" w:line="360" w:lineRule="auto"/>
        <w:jc w:val="both"/>
        <w:rPr>
          <w:rFonts w:ascii="Times New Roman" w:hAnsi="Times New Roman" w:cs="Times New Roman"/>
          <w:sz w:val="24"/>
          <w:szCs w:val="24"/>
        </w:rPr>
      </w:pPr>
      <w:r w:rsidRPr="00D0407E">
        <w:rPr>
          <w:rFonts w:ascii="Times New Roman" w:hAnsi="Times New Roman" w:cs="Times New Roman"/>
          <w:sz w:val="24"/>
          <w:szCs w:val="24"/>
        </w:rPr>
        <w:t xml:space="preserve">Zarządca rozliczeń przekazuje do ministra właściwego do spraw energii w terminach do dnia 10 stycznia 2023 r., 10 kwietnia 2023 r. i 10 lipca 2023 r. informację o sumie kwot wpłat przekazanych na rachunek Funduszu Wypłaty Różnicy Ceny, które zostały zrealizowane do końca miesiąca poprzedzający miesiąc przekazania. </w:t>
      </w:r>
    </w:p>
    <w:p w14:paraId="53AD17F8" w14:textId="77777777" w:rsidR="00D0407E" w:rsidRPr="00D0407E" w:rsidRDefault="00D0407E" w:rsidP="00D0407E">
      <w:pPr>
        <w:widowControl w:val="0"/>
        <w:numPr>
          <w:ilvl w:val="0"/>
          <w:numId w:val="17"/>
        </w:numPr>
        <w:autoSpaceDE w:val="0"/>
        <w:autoSpaceDN w:val="0"/>
        <w:adjustRightInd w:val="0"/>
        <w:spacing w:after="0" w:line="360" w:lineRule="auto"/>
        <w:jc w:val="both"/>
        <w:rPr>
          <w:rFonts w:ascii="Times New Roman" w:hAnsi="Times New Roman" w:cs="Times New Roman"/>
          <w:sz w:val="24"/>
          <w:szCs w:val="24"/>
        </w:rPr>
      </w:pPr>
      <w:r w:rsidRPr="00D0407E">
        <w:rPr>
          <w:rFonts w:ascii="Times New Roman" w:hAnsi="Times New Roman" w:cs="Times New Roman"/>
          <w:sz w:val="24"/>
          <w:szCs w:val="24"/>
        </w:rPr>
        <w:t>Powyższe zmiany w zakresie wprowadzonego obowiązku przekazywania wpłat na Fundusz Wypłaty Różnicy Ceny będą mieć zastosowanie dla okresu od 1 grudnia 2022 do 31 czerwca 2023.</w:t>
      </w:r>
    </w:p>
    <w:p w14:paraId="327D751D" w14:textId="79DE657D" w:rsidR="00D0407E" w:rsidRPr="00D0407E" w:rsidRDefault="00D0407E" w:rsidP="00D0407E">
      <w:pPr>
        <w:widowControl w:val="0"/>
        <w:autoSpaceDE w:val="0"/>
        <w:autoSpaceDN w:val="0"/>
        <w:adjustRightInd w:val="0"/>
        <w:spacing w:after="0" w:line="360" w:lineRule="auto"/>
        <w:jc w:val="both"/>
        <w:rPr>
          <w:rFonts w:ascii="Times New Roman" w:hAnsi="Times New Roman" w:cs="Times New Roman"/>
          <w:sz w:val="24"/>
          <w:szCs w:val="24"/>
        </w:rPr>
      </w:pPr>
      <w:r w:rsidRPr="00D0407E">
        <w:rPr>
          <w:rFonts w:ascii="Times New Roman" w:hAnsi="Times New Roman" w:cs="Times New Roman"/>
          <w:sz w:val="24"/>
          <w:szCs w:val="24"/>
        </w:rPr>
        <w:t>Oczekiwanym efektem rozwiązania wprowadzanego na rynku hurtowym energii elektrycznej jest ograniczenie nadmiarowego przychodu wytwórców energii elektrycznej i przedsiębiorstw obrotu i redystrybucja uzyskanych z tego tytułu środków do odbiorców końcowych.</w:t>
      </w:r>
    </w:p>
    <w:p w14:paraId="1202A238" w14:textId="217D3DA3" w:rsidR="00D0407E" w:rsidRPr="00623115" w:rsidRDefault="006C6C12" w:rsidP="00D0407E">
      <w:pPr>
        <w:widowControl w:val="0"/>
        <w:autoSpaceDE w:val="0"/>
        <w:autoSpaceDN w:val="0"/>
        <w:adjustRightInd w:val="0"/>
        <w:spacing w:after="0" w:line="360" w:lineRule="auto"/>
        <w:jc w:val="both"/>
        <w:rPr>
          <w:rFonts w:ascii="Times New Roman" w:hAnsi="Times New Roman" w:cs="Times New Roman"/>
          <w:b/>
          <w:bCs/>
          <w:sz w:val="24"/>
          <w:szCs w:val="24"/>
          <w:u w:val="single"/>
        </w:rPr>
      </w:pPr>
      <w:r w:rsidRPr="00623115">
        <w:rPr>
          <w:rFonts w:ascii="Times New Roman" w:hAnsi="Times New Roman" w:cs="Times New Roman"/>
          <w:b/>
          <w:bCs/>
          <w:sz w:val="24"/>
          <w:szCs w:val="24"/>
          <w:u w:val="single"/>
        </w:rPr>
        <w:t>Produkcja wody amoniakalnej</w:t>
      </w:r>
    </w:p>
    <w:p w14:paraId="133CDCA4" w14:textId="2DC9E424" w:rsidR="00861FD2" w:rsidRPr="00732788" w:rsidRDefault="00D0407E" w:rsidP="00861FD2">
      <w:pPr>
        <w:widowControl w:val="0"/>
        <w:autoSpaceDE w:val="0"/>
        <w:autoSpaceDN w:val="0"/>
        <w:adjustRightInd w:val="0"/>
        <w:spacing w:after="0" w:line="360" w:lineRule="auto"/>
        <w:jc w:val="both"/>
        <w:rPr>
          <w:rFonts w:ascii="Times New Roman" w:hAnsi="Times New Roman" w:cs="Times New Roman"/>
          <w:sz w:val="24"/>
          <w:szCs w:val="24"/>
        </w:rPr>
      </w:pPr>
      <w:r w:rsidRPr="00D0407E">
        <w:rPr>
          <w:rFonts w:ascii="Times New Roman" w:hAnsi="Times New Roman" w:cs="Times New Roman"/>
          <w:sz w:val="24"/>
          <w:szCs w:val="24"/>
        </w:rPr>
        <w:t>W związku z szokiem cenowym na rynku gazu oraz będącą konsekwencją tego szoku decyzją zakładów azotowych w sprawie ograniczenia lub wstrzymania produkcji m.in. wody amoniakalnej konieczne jest przyjęcie przepisów, które zapewnią bezpieczne funkcjonowanie systemu elektroenergetycznego również w przypadku braku możliwości nabycia przez przedsiębiorstwa posiadające jednostki wytwórcze centralnie dysponowane wody amoniakalnej. W tym celu proponuje się umożliwienie takim przedsiębiorstwom wystąpienie z wnioskiem do właściwego organu ochrony środowiska wydanie decyzji pozwalającej na eksploatację jednostki wytwórczej centralnie dysponowanej będącej częścią instalacji do spalania paliw. Czasowe umożliwienie odstępstwa od stosowania rygorystycznych zasad w zakresie emisji tlenków azotów jest uzasadnione mając na uwadze kluczowe znaczenie jednostek wytwórczych centralnie dysponowanych dla zapewnienia bezpieczeństwa energetycznego państwa. Jednocześnie, w celu ograniczenia czasowego możliwości stosowania przepisów, proponuje się by wydanie decyzji na podstawie wprowadzanych przepisów było ograniczone w czasie do dnia 31 grudnia 2023 r.</w:t>
      </w:r>
    </w:p>
    <w:p w14:paraId="2ABE498E" w14:textId="77777777" w:rsidR="008C24FC" w:rsidRPr="007E2D92" w:rsidRDefault="008C24FC" w:rsidP="00AD525F">
      <w:pPr>
        <w:widowControl w:val="0"/>
        <w:autoSpaceDE w:val="0"/>
        <w:autoSpaceDN w:val="0"/>
        <w:adjustRightInd w:val="0"/>
        <w:spacing w:after="0" w:line="360" w:lineRule="auto"/>
        <w:jc w:val="both"/>
        <w:rPr>
          <w:rFonts w:ascii="Times New Roman" w:hAnsi="Times New Roman" w:cs="Times New Roman"/>
          <w:b/>
          <w:bCs/>
          <w:sz w:val="24"/>
          <w:szCs w:val="24"/>
        </w:rPr>
      </w:pPr>
    </w:p>
    <w:p w14:paraId="26964302" w14:textId="2962559D" w:rsidR="00BC18FF" w:rsidRPr="00272C72" w:rsidRDefault="00BC18FF" w:rsidP="00AD525F">
      <w:pPr>
        <w:widowControl w:val="0"/>
        <w:autoSpaceDE w:val="0"/>
        <w:autoSpaceDN w:val="0"/>
        <w:adjustRightInd w:val="0"/>
        <w:spacing w:after="0" w:line="360" w:lineRule="auto"/>
        <w:jc w:val="both"/>
        <w:rPr>
          <w:rFonts w:ascii="Times New Roman" w:hAnsi="Times New Roman" w:cs="Times New Roman"/>
          <w:b/>
          <w:bCs/>
          <w:sz w:val="24"/>
          <w:szCs w:val="24"/>
          <w:u w:val="single"/>
        </w:rPr>
      </w:pPr>
      <w:r w:rsidRPr="00272C72">
        <w:rPr>
          <w:rFonts w:ascii="Times New Roman" w:hAnsi="Times New Roman" w:cs="Times New Roman"/>
          <w:b/>
          <w:bCs/>
          <w:sz w:val="24"/>
          <w:szCs w:val="24"/>
          <w:u w:val="single"/>
        </w:rPr>
        <w:lastRenderedPageBreak/>
        <w:t>Źródła finansowania</w:t>
      </w:r>
    </w:p>
    <w:p w14:paraId="101575A3" w14:textId="7DD27140" w:rsidR="001E07ED" w:rsidRPr="001D65D1" w:rsidRDefault="006C6C12" w:rsidP="001D65D1">
      <w:pPr>
        <w:widowControl w:val="0"/>
        <w:autoSpaceDE w:val="0"/>
        <w:autoSpaceDN w:val="0"/>
        <w:adjustRightInd w:val="0"/>
        <w:spacing w:after="0" w:line="360" w:lineRule="auto"/>
        <w:jc w:val="both"/>
        <w:rPr>
          <w:rFonts w:ascii="Times New Roman" w:hAnsi="Times New Roman" w:cs="Times New Roman"/>
          <w:sz w:val="24"/>
          <w:szCs w:val="24"/>
        </w:rPr>
      </w:pPr>
      <w:r w:rsidRPr="006C6C12">
        <w:rPr>
          <w:rFonts w:ascii="Times New Roman" w:hAnsi="Times New Roman" w:cs="Times New Roman"/>
          <w:sz w:val="24"/>
          <w:szCs w:val="24"/>
        </w:rPr>
        <w:t>Środki na wypłatę rekompensat dla przedsiębiorstw obrotu pochodzić będą z Funduszu Wypłaty Różnicy Ceny, o którym mowa w art. 11 ust. 1 ustawy z dnia 28 grudnia 2018 r. o zmianie ustawy o podatku akcyzowym oraz niektórych innych ustaw (Dz. U. z 2018 r. poz. 2538, z późn. zm.) zasilanego z kolei środkami z wpłat wytwórców energii elektrycznej oraz przedsiębiorstw obrotu w ramach tzw. kwot wpłaty, o których mowa w projektowanej regulacji.</w:t>
      </w:r>
    </w:p>
    <w:p w14:paraId="38A0B55C" w14:textId="132D59DF" w:rsidR="00FD49B9" w:rsidRPr="001D65D1" w:rsidRDefault="0019079D" w:rsidP="001D65D1">
      <w:pPr>
        <w:pStyle w:val="ARTartustawynprozporzdzenia"/>
        <w:ind w:firstLine="0"/>
        <w:rPr>
          <w:rFonts w:ascii="Times New Roman" w:hAnsi="Times New Roman" w:cs="Times New Roman"/>
          <w:b/>
          <w:szCs w:val="24"/>
        </w:rPr>
      </w:pPr>
      <w:r>
        <w:rPr>
          <w:rFonts w:ascii="Times New Roman" w:hAnsi="Times New Roman" w:cs="Times New Roman"/>
          <w:b/>
          <w:szCs w:val="24"/>
        </w:rPr>
        <w:t>5.</w:t>
      </w:r>
      <w:r w:rsidR="00DA094D">
        <w:rPr>
          <w:rFonts w:ascii="Times New Roman" w:hAnsi="Times New Roman" w:cs="Times New Roman"/>
          <w:b/>
          <w:szCs w:val="24"/>
        </w:rPr>
        <w:tab/>
        <w:t>W</w:t>
      </w:r>
      <w:r w:rsidR="00FD49B9" w:rsidRPr="001D65D1">
        <w:rPr>
          <w:rFonts w:ascii="Times New Roman" w:hAnsi="Times New Roman" w:cs="Times New Roman"/>
          <w:b/>
          <w:szCs w:val="24"/>
        </w:rPr>
        <w:t>ejści</w:t>
      </w:r>
      <w:r w:rsidR="00DA094D">
        <w:rPr>
          <w:rFonts w:ascii="Times New Roman" w:hAnsi="Times New Roman" w:cs="Times New Roman"/>
          <w:b/>
          <w:szCs w:val="24"/>
        </w:rPr>
        <w:t>e</w:t>
      </w:r>
      <w:r w:rsidR="00FD49B9" w:rsidRPr="001D65D1">
        <w:rPr>
          <w:rFonts w:ascii="Times New Roman" w:hAnsi="Times New Roman" w:cs="Times New Roman"/>
          <w:b/>
          <w:szCs w:val="24"/>
        </w:rPr>
        <w:t xml:space="preserve"> w życie  </w:t>
      </w:r>
    </w:p>
    <w:p w14:paraId="066E6270" w14:textId="6529D621" w:rsidR="00C43675" w:rsidRPr="00C43675" w:rsidRDefault="008A0D01" w:rsidP="006C6C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Zgodnie z art.</w:t>
      </w:r>
      <w:r w:rsidR="00FB6AB7">
        <w:rPr>
          <w:rFonts w:ascii="Times New Roman" w:hAnsi="Times New Roman" w:cs="Times New Roman"/>
          <w:sz w:val="24"/>
          <w:szCs w:val="24"/>
        </w:rPr>
        <w:t xml:space="preserve"> </w:t>
      </w:r>
      <w:r w:rsidR="006B4A46">
        <w:rPr>
          <w:rFonts w:ascii="Times New Roman" w:hAnsi="Times New Roman" w:cs="Times New Roman"/>
          <w:sz w:val="24"/>
          <w:szCs w:val="24"/>
        </w:rPr>
        <w:t>41</w:t>
      </w:r>
      <w:r>
        <w:rPr>
          <w:rFonts w:ascii="Times New Roman" w:hAnsi="Times New Roman" w:cs="Times New Roman"/>
          <w:sz w:val="24"/>
          <w:szCs w:val="24"/>
        </w:rPr>
        <w:t xml:space="preserve"> projektu ustawy proponuje się, aby ustaw</w:t>
      </w:r>
      <w:r w:rsidR="00AC1ABD">
        <w:rPr>
          <w:rFonts w:ascii="Times New Roman" w:hAnsi="Times New Roman" w:cs="Times New Roman"/>
          <w:sz w:val="24"/>
          <w:szCs w:val="24"/>
        </w:rPr>
        <w:t>a</w:t>
      </w:r>
      <w:r>
        <w:rPr>
          <w:rFonts w:ascii="Times New Roman" w:hAnsi="Times New Roman" w:cs="Times New Roman"/>
          <w:sz w:val="24"/>
          <w:szCs w:val="24"/>
        </w:rPr>
        <w:t xml:space="preserve"> weszła </w:t>
      </w:r>
      <w:r w:rsidR="00A53861">
        <w:rPr>
          <w:rFonts w:ascii="Times New Roman" w:hAnsi="Times New Roman" w:cs="Times New Roman"/>
          <w:sz w:val="24"/>
          <w:szCs w:val="24"/>
        </w:rPr>
        <w:t xml:space="preserve">w </w:t>
      </w:r>
      <w:r w:rsidR="00AC1ABD">
        <w:rPr>
          <w:rFonts w:ascii="Times New Roman" w:hAnsi="Times New Roman" w:cs="Times New Roman"/>
          <w:sz w:val="24"/>
          <w:szCs w:val="24"/>
        </w:rPr>
        <w:t>życie w dniu następującym po dniu ogłoszenia</w:t>
      </w:r>
      <w:r w:rsidR="006C6C12">
        <w:rPr>
          <w:rFonts w:ascii="Times New Roman" w:hAnsi="Times New Roman" w:cs="Times New Roman"/>
          <w:sz w:val="24"/>
          <w:szCs w:val="24"/>
        </w:rPr>
        <w:t>.</w:t>
      </w:r>
    </w:p>
    <w:p w14:paraId="5FF96684" w14:textId="2A6886ED" w:rsidR="006C6C12" w:rsidRPr="006C6C12" w:rsidRDefault="00AC1ABD" w:rsidP="006C6C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Wejście w życie ustawy z dniem następującym po dniu ogłoszenia, uzasadnione jest</w:t>
      </w:r>
      <w:r w:rsidR="005D3089">
        <w:rPr>
          <w:rFonts w:ascii="Times New Roman" w:hAnsi="Times New Roman" w:cs="Times New Roman"/>
          <w:sz w:val="24"/>
          <w:szCs w:val="24"/>
        </w:rPr>
        <w:t xml:space="preserve"> przede wszystkim </w:t>
      </w:r>
      <w:r w:rsidR="006C6C12">
        <w:rPr>
          <w:rFonts w:ascii="Times New Roman" w:hAnsi="Times New Roman" w:cs="Times New Roman"/>
          <w:sz w:val="24"/>
          <w:szCs w:val="24"/>
        </w:rPr>
        <w:t xml:space="preserve">potrzebą udzielenia natychmiastowego wsparcia odbiorcom energii elektrycznej, w zakresie możliwości </w:t>
      </w:r>
      <w:r w:rsidR="006C6C12" w:rsidRPr="006C6C12">
        <w:rPr>
          <w:rFonts w:ascii="Times New Roman" w:hAnsi="Times New Roman" w:cs="Times New Roman"/>
          <w:sz w:val="24"/>
          <w:szCs w:val="24"/>
        </w:rPr>
        <w:t>uregulowani</w:t>
      </w:r>
      <w:r w:rsidR="006C6C12">
        <w:rPr>
          <w:rFonts w:ascii="Times New Roman" w:hAnsi="Times New Roman" w:cs="Times New Roman"/>
          <w:sz w:val="24"/>
          <w:szCs w:val="24"/>
        </w:rPr>
        <w:t>a</w:t>
      </w:r>
      <w:r w:rsidR="006C6C12" w:rsidRPr="006C6C12">
        <w:rPr>
          <w:rFonts w:ascii="Times New Roman" w:hAnsi="Times New Roman" w:cs="Times New Roman"/>
          <w:sz w:val="24"/>
          <w:szCs w:val="24"/>
        </w:rPr>
        <w:t xml:space="preserve"> rachunków i gwarancj</w:t>
      </w:r>
      <w:r w:rsidR="006C6C12">
        <w:rPr>
          <w:rFonts w:ascii="Times New Roman" w:hAnsi="Times New Roman" w:cs="Times New Roman"/>
          <w:sz w:val="24"/>
          <w:szCs w:val="24"/>
        </w:rPr>
        <w:t>i</w:t>
      </w:r>
      <w:r w:rsidR="006C6C12" w:rsidRPr="006C6C12">
        <w:rPr>
          <w:rFonts w:ascii="Times New Roman" w:hAnsi="Times New Roman" w:cs="Times New Roman"/>
          <w:sz w:val="24"/>
          <w:szCs w:val="24"/>
        </w:rPr>
        <w:t xml:space="preserve"> ciągłości dostaw</w:t>
      </w:r>
      <w:r w:rsidR="006C6C12">
        <w:rPr>
          <w:rFonts w:ascii="Times New Roman" w:hAnsi="Times New Roman" w:cs="Times New Roman"/>
          <w:sz w:val="24"/>
          <w:szCs w:val="24"/>
        </w:rPr>
        <w:t xml:space="preserve"> energii elektrycznej.</w:t>
      </w:r>
    </w:p>
    <w:p w14:paraId="4532D012" w14:textId="070D0951" w:rsidR="00C56F23" w:rsidRDefault="00597BE0" w:rsidP="00AC1ABD">
      <w:p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Termin wejścia w życie ustawy nie narusza zasad demokratycznego państwa prawnego i nie stoi w sprzeczności z art. 4 ust. 2 ustawy z dnia 20 lipca 2000 r. o ogłaszaniu aktów normatywnych i niektórych innych </w:t>
      </w:r>
      <w:r w:rsidR="00C43675" w:rsidRPr="00C43675">
        <w:rPr>
          <w:rFonts w:ascii="Times New Roman" w:hAnsi="Times New Roman" w:cs="Times New Roman"/>
          <w:sz w:val="24"/>
          <w:szCs w:val="24"/>
        </w:rPr>
        <w:t>aktów prawnych (Dz. U. z 2019 r. poz. 1461).</w:t>
      </w:r>
    </w:p>
    <w:p w14:paraId="0C6B2529" w14:textId="77777777" w:rsidR="00FB6AB7" w:rsidRDefault="00FB6AB7" w:rsidP="00C56F23">
      <w:pPr>
        <w:spacing w:after="0" w:line="360" w:lineRule="auto"/>
        <w:rPr>
          <w:rFonts w:ascii="Times New Roman" w:hAnsi="Times New Roman" w:cs="Times New Roman"/>
          <w:b/>
          <w:bCs/>
          <w:sz w:val="24"/>
          <w:szCs w:val="24"/>
        </w:rPr>
      </w:pPr>
    </w:p>
    <w:p w14:paraId="75D06FAB" w14:textId="153460AB" w:rsidR="00DA094D" w:rsidRPr="00C56F23" w:rsidRDefault="0019079D" w:rsidP="00C56F23">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6.</w:t>
      </w:r>
      <w:r w:rsidR="00DA094D">
        <w:rPr>
          <w:rFonts w:ascii="Times New Roman" w:hAnsi="Times New Roman" w:cs="Times New Roman"/>
          <w:b/>
          <w:bCs/>
          <w:sz w:val="24"/>
          <w:szCs w:val="24"/>
        </w:rPr>
        <w:tab/>
      </w:r>
      <w:r w:rsidR="00DA094D" w:rsidRPr="0009225C">
        <w:rPr>
          <w:rFonts w:ascii="Times New Roman" w:hAnsi="Times New Roman" w:cs="Times New Roman"/>
          <w:b/>
          <w:bCs/>
          <w:sz w:val="24"/>
          <w:szCs w:val="24"/>
        </w:rPr>
        <w:t>Zgodność z prawem Unii Europejskiej</w:t>
      </w:r>
    </w:p>
    <w:p w14:paraId="16942443" w14:textId="211977B8" w:rsidR="00C56F23" w:rsidRDefault="00C56F23" w:rsidP="00B70705">
      <w:pPr>
        <w:spacing w:after="0" w:line="360" w:lineRule="auto"/>
        <w:jc w:val="both"/>
        <w:rPr>
          <w:rFonts w:ascii="Times New Roman" w:hAnsi="Times New Roman" w:cs="Times New Roman"/>
          <w:sz w:val="24"/>
          <w:szCs w:val="24"/>
        </w:rPr>
      </w:pPr>
      <w:r w:rsidRPr="00C56F23">
        <w:rPr>
          <w:rFonts w:ascii="Times New Roman" w:hAnsi="Times New Roman" w:cs="Times New Roman"/>
          <w:sz w:val="24"/>
          <w:szCs w:val="24"/>
        </w:rPr>
        <w:t>W ocenie projektodawców projekt ustawy jest zgodny z prawem Unii Europejskiej. Art. 5 ust. 3 i 4 dyrektywy Parlamentu Europejskiego i Rady (UE) 2019/944 z dnia 5 czerwca 2019 r. w sprawie wspólnych zasad rynku wewnętrznego energii elektrycznej oraz zmieniającej dyrektywę 2012/27/UE (Dz. Urz. UE L 158 z 14.06.2019, str. 125) dopuszcza możliwość tzw. interwencji publicznej</w:t>
      </w:r>
      <w:r w:rsidRPr="00B70705">
        <w:rPr>
          <w:rFonts w:ascii="Times New Roman" w:hAnsi="Times New Roman" w:cs="Times New Roman"/>
          <w:sz w:val="24"/>
          <w:szCs w:val="24"/>
        </w:rPr>
        <w:t>,</w:t>
      </w:r>
      <w:r w:rsidRPr="00C56F23">
        <w:rPr>
          <w:rFonts w:ascii="Times New Roman" w:hAnsi="Times New Roman" w:cs="Times New Roman"/>
          <w:sz w:val="24"/>
          <w:szCs w:val="24"/>
        </w:rPr>
        <w:t xml:space="preserve"> jeżeli służy to ogólnemu interesowi gospodarczemu, jest niedyskryminacyjne, proporcjonalne oraz została ona wprowadzona na przejrzystych zasad.</w:t>
      </w:r>
    </w:p>
    <w:p w14:paraId="5888CA6D" w14:textId="5C765E4D" w:rsidR="008A0D01" w:rsidRDefault="00483819" w:rsidP="00B707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Ponadto w</w:t>
      </w:r>
      <w:r w:rsidR="008A0D01" w:rsidRPr="008A0D01">
        <w:rPr>
          <w:rFonts w:ascii="Times New Roman" w:hAnsi="Times New Roman" w:cs="Times New Roman"/>
          <w:sz w:val="24"/>
          <w:szCs w:val="24"/>
        </w:rPr>
        <w:t xml:space="preserve"> związku z zaburzeniem łańcucha dostaw surowców energetycznych na potrzeby wytwarzania energii elektrycznej oraz związanej z tym konkurencji na rynku energii elektrycznej, spowodowanym agresją Rosji na Ukrainę niezbędna stała się interwencja publiczna. Interwencja ta ma na celu ochronę odbiorców energii elektrycznej w gospodarstwach domowych,</w:t>
      </w:r>
      <w:r w:rsidR="008A0D01">
        <w:rPr>
          <w:rFonts w:ascii="Times New Roman" w:hAnsi="Times New Roman" w:cs="Times New Roman"/>
          <w:sz w:val="24"/>
          <w:szCs w:val="24"/>
        </w:rPr>
        <w:t xml:space="preserve"> niekorzystających z prawa wyboru sprzedawcy,</w:t>
      </w:r>
      <w:r w:rsidR="008A0D01" w:rsidRPr="008A0D01">
        <w:rPr>
          <w:rFonts w:ascii="Times New Roman" w:hAnsi="Times New Roman" w:cs="Times New Roman"/>
          <w:sz w:val="24"/>
          <w:szCs w:val="24"/>
        </w:rPr>
        <w:t xml:space="preserve"> którzy znaleźli się w dużo bardziej niekorzystnej sytuacji w porównaniu z tymi, dla których ceny są określone w taryfie zatwierdzonej przez Prezesa URE. Instrument ten ma charakter przejściowy i ma na celu ustabilizowanie sytuacji na rynku energii elektrycznej i przywrócenie na nim zasad konkurencji.  Stąd jest on w pełni uzasadniony na gruncie art. 5 ust. 6 dyrektywy Parlamentu </w:t>
      </w:r>
      <w:r w:rsidR="008A0D01" w:rsidRPr="008A0D01">
        <w:rPr>
          <w:rFonts w:ascii="Times New Roman" w:hAnsi="Times New Roman" w:cs="Times New Roman"/>
          <w:sz w:val="24"/>
          <w:szCs w:val="24"/>
        </w:rPr>
        <w:lastRenderedPageBreak/>
        <w:t>Europejskiego i Rady (UE) 2019/944 z dnia 5 czerwca 2019 r. w sprawie wspólnych zasad rynku wewnętrznego energii elektrycznej oraz zmieniającej dyrektywę 2012/27/UE (Dz. Urz. UE L 158 z 14.06.2019, str. 125) przewidującego możliwość jego wprowadzenia.</w:t>
      </w:r>
    </w:p>
    <w:p w14:paraId="5DF8DBE1" w14:textId="024A60D9" w:rsidR="003A68CF" w:rsidRPr="001D65D1" w:rsidRDefault="003A68CF" w:rsidP="00B707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Ponadto wprowadzone regulacje są zgodne z </w:t>
      </w:r>
      <w:r w:rsidR="005C42C9">
        <w:rPr>
          <w:rFonts w:ascii="Times New Roman" w:hAnsi="Times New Roman" w:cs="Times New Roman"/>
          <w:sz w:val="24"/>
          <w:szCs w:val="24"/>
        </w:rPr>
        <w:t>r</w:t>
      </w:r>
      <w:r w:rsidRPr="005C42C9">
        <w:rPr>
          <w:rFonts w:ascii="Times New Roman" w:hAnsi="Times New Roman" w:cs="Times New Roman"/>
          <w:sz w:val="24"/>
          <w:szCs w:val="24"/>
        </w:rPr>
        <w:t>ozporządzenie</w:t>
      </w:r>
      <w:r w:rsidR="00046012">
        <w:rPr>
          <w:rFonts w:ascii="Times New Roman" w:hAnsi="Times New Roman" w:cs="Times New Roman"/>
          <w:sz w:val="24"/>
          <w:szCs w:val="24"/>
        </w:rPr>
        <w:t>m</w:t>
      </w:r>
      <w:r w:rsidRPr="005C42C9">
        <w:rPr>
          <w:rFonts w:ascii="Times New Roman" w:hAnsi="Times New Roman" w:cs="Times New Roman"/>
          <w:sz w:val="24"/>
          <w:szCs w:val="24"/>
        </w:rPr>
        <w:t xml:space="preserve"> Rady (UE) 2022/1854 z dnia 6 października 2022 r. w sprawie interwencji w sytuacji nadzwyczajnej w celu rozwiązania problemu wysokich cen energii</w:t>
      </w:r>
      <w:r w:rsidR="005C42C9">
        <w:rPr>
          <w:rFonts w:ascii="Times New Roman" w:hAnsi="Times New Roman" w:cs="Times New Roman"/>
          <w:sz w:val="24"/>
          <w:szCs w:val="24"/>
        </w:rPr>
        <w:t>, którym wprowadzono t</w:t>
      </w:r>
      <w:r w:rsidRPr="005C42C9">
        <w:rPr>
          <w:rFonts w:ascii="Times New Roman" w:hAnsi="Times New Roman" w:cs="Times New Roman"/>
          <w:sz w:val="24"/>
          <w:szCs w:val="24"/>
        </w:rPr>
        <w:t>ymczasowe rozszerzenie na MŚP interwencji publicznych w zakresie ustalania cen energii elektryczne</w:t>
      </w:r>
      <w:r w:rsidR="005C42C9">
        <w:rPr>
          <w:rFonts w:ascii="Times New Roman" w:hAnsi="Times New Roman" w:cs="Times New Roman"/>
          <w:sz w:val="24"/>
          <w:szCs w:val="24"/>
        </w:rPr>
        <w:t>j. Ponadto w rozporządzeniu zezwolono na tymczasową</w:t>
      </w:r>
      <w:r w:rsidRPr="005C42C9">
        <w:rPr>
          <w:rFonts w:ascii="Times New Roman" w:hAnsi="Times New Roman" w:cs="Times New Roman"/>
          <w:sz w:val="24"/>
          <w:szCs w:val="24"/>
        </w:rPr>
        <w:t xml:space="preserve"> możliwość ustalania cen energii elektrycznej poniżej kosztów</w:t>
      </w:r>
      <w:r w:rsidR="005C42C9">
        <w:rPr>
          <w:rFonts w:ascii="Times New Roman" w:hAnsi="Times New Roman" w:cs="Times New Roman"/>
          <w:sz w:val="24"/>
          <w:szCs w:val="24"/>
        </w:rPr>
        <w:t>.</w:t>
      </w:r>
    </w:p>
    <w:p w14:paraId="63255E3E" w14:textId="39E601BD" w:rsidR="00FD49B9" w:rsidRPr="001D65D1" w:rsidRDefault="00DA094D" w:rsidP="001D65D1">
      <w:pPr>
        <w:spacing w:before="100" w:beforeAutospacing="1" w:after="0" w:line="360" w:lineRule="auto"/>
        <w:jc w:val="both"/>
        <w:rPr>
          <w:rFonts w:ascii="Times New Roman" w:hAnsi="Times New Roman" w:cs="Times New Roman"/>
          <w:b/>
          <w:sz w:val="24"/>
          <w:szCs w:val="24"/>
        </w:rPr>
      </w:pPr>
      <w:r>
        <w:rPr>
          <w:rFonts w:ascii="Times New Roman" w:hAnsi="Times New Roman" w:cs="Times New Roman"/>
          <w:b/>
          <w:sz w:val="24"/>
          <w:szCs w:val="24"/>
        </w:rPr>
        <w:t>7</w:t>
      </w:r>
      <w:r w:rsidR="0019079D">
        <w:rPr>
          <w:rFonts w:ascii="Times New Roman" w:hAnsi="Times New Roman" w:cs="Times New Roman"/>
          <w:b/>
          <w:sz w:val="24"/>
          <w:szCs w:val="24"/>
        </w:rPr>
        <w:t>.</w:t>
      </w:r>
      <w:r>
        <w:rPr>
          <w:rFonts w:ascii="Times New Roman" w:hAnsi="Times New Roman" w:cs="Times New Roman"/>
          <w:b/>
          <w:sz w:val="24"/>
          <w:szCs w:val="24"/>
        </w:rPr>
        <w:tab/>
      </w:r>
      <w:r w:rsidR="00FD49B9" w:rsidRPr="001D65D1">
        <w:rPr>
          <w:rFonts w:ascii="Times New Roman" w:hAnsi="Times New Roman" w:cs="Times New Roman"/>
          <w:b/>
          <w:sz w:val="24"/>
          <w:szCs w:val="24"/>
        </w:rPr>
        <w:t>Notyfikacja</w:t>
      </w:r>
    </w:p>
    <w:p w14:paraId="2B9D5AA0" w14:textId="02F8B95D" w:rsidR="00FD49B9" w:rsidRDefault="00FD49B9" w:rsidP="009201FC">
      <w:pPr>
        <w:spacing w:after="0" w:line="360" w:lineRule="auto"/>
        <w:ind w:firstLine="708"/>
        <w:jc w:val="both"/>
        <w:rPr>
          <w:rFonts w:ascii="Times New Roman" w:hAnsi="Times New Roman" w:cs="Times New Roman"/>
          <w:sz w:val="24"/>
          <w:szCs w:val="24"/>
        </w:rPr>
      </w:pPr>
      <w:r w:rsidRPr="001D65D1">
        <w:rPr>
          <w:rFonts w:ascii="Times New Roman" w:hAnsi="Times New Roman" w:cs="Times New Roman"/>
          <w:sz w:val="24"/>
          <w:szCs w:val="24"/>
        </w:rPr>
        <w:t xml:space="preserve">Projekt ustawy nie </w:t>
      </w:r>
      <w:r w:rsidR="001B1C02">
        <w:rPr>
          <w:rFonts w:ascii="Times New Roman" w:hAnsi="Times New Roman" w:cs="Times New Roman"/>
          <w:sz w:val="24"/>
          <w:szCs w:val="24"/>
        </w:rPr>
        <w:t xml:space="preserve">podlega </w:t>
      </w:r>
      <w:r w:rsidR="001B1C02" w:rsidRPr="001B1C02">
        <w:rPr>
          <w:rFonts w:ascii="Times New Roman" w:hAnsi="Times New Roman" w:cs="Times New Roman"/>
          <w:sz w:val="24"/>
          <w:szCs w:val="24"/>
        </w:rPr>
        <w:t>procedurze notyfikacji aktów prawnych, określonej w</w:t>
      </w:r>
      <w:r w:rsidR="00AF397D">
        <w:rPr>
          <w:rFonts w:ascii="Times New Roman" w:hAnsi="Times New Roman" w:cs="Times New Roman"/>
          <w:sz w:val="24"/>
          <w:szCs w:val="24"/>
        </w:rPr>
        <w:t> </w:t>
      </w:r>
      <w:r w:rsidR="001B1C02" w:rsidRPr="001B1C02">
        <w:rPr>
          <w:rFonts w:ascii="Times New Roman" w:hAnsi="Times New Roman" w:cs="Times New Roman"/>
          <w:sz w:val="24"/>
          <w:szCs w:val="24"/>
        </w:rPr>
        <w:t>przepisach</w:t>
      </w:r>
      <w:r w:rsidRPr="001D65D1">
        <w:rPr>
          <w:rFonts w:ascii="Times New Roman" w:hAnsi="Times New Roman" w:cs="Times New Roman"/>
          <w:sz w:val="24"/>
          <w:szCs w:val="24"/>
        </w:rPr>
        <w:t xml:space="preserve"> rozporządzenia Rady Ministrów z dnia 23 grudnia 2002 r. w sprawie funkcjonowania krajowego systemu notyfikacji norm i aktów prawnych (Dz. U.  poz. 2039</w:t>
      </w:r>
      <w:r w:rsidR="00C43675">
        <w:rPr>
          <w:rFonts w:ascii="Times New Roman" w:hAnsi="Times New Roman" w:cs="Times New Roman"/>
          <w:sz w:val="24"/>
          <w:szCs w:val="24"/>
        </w:rPr>
        <w:t>,</w:t>
      </w:r>
      <w:r w:rsidRPr="001D65D1">
        <w:rPr>
          <w:rFonts w:ascii="Times New Roman" w:hAnsi="Times New Roman" w:cs="Times New Roman"/>
          <w:sz w:val="24"/>
          <w:szCs w:val="24"/>
        </w:rPr>
        <w:t xml:space="preserve"> </w:t>
      </w:r>
      <w:r w:rsidR="00FA01A0">
        <w:rPr>
          <w:rFonts w:ascii="Times New Roman" w:hAnsi="Times New Roman" w:cs="Times New Roman"/>
          <w:sz w:val="24"/>
          <w:szCs w:val="24"/>
        </w:rPr>
        <w:t>z </w:t>
      </w:r>
      <w:r w:rsidR="001B1C02" w:rsidRPr="001B1C02">
        <w:rPr>
          <w:rFonts w:ascii="Times New Roman" w:hAnsi="Times New Roman" w:cs="Times New Roman"/>
          <w:sz w:val="24"/>
          <w:szCs w:val="24"/>
        </w:rPr>
        <w:t>późn. zm.</w:t>
      </w:r>
      <w:r w:rsidRPr="001D65D1">
        <w:rPr>
          <w:rFonts w:ascii="Times New Roman" w:hAnsi="Times New Roman" w:cs="Times New Roman"/>
          <w:sz w:val="24"/>
          <w:szCs w:val="24"/>
        </w:rPr>
        <w:t>)</w:t>
      </w:r>
      <w:r w:rsidR="001B1C02">
        <w:rPr>
          <w:rFonts w:ascii="Times New Roman" w:hAnsi="Times New Roman" w:cs="Times New Roman"/>
          <w:sz w:val="24"/>
          <w:szCs w:val="24"/>
        </w:rPr>
        <w:t xml:space="preserve">. </w:t>
      </w:r>
      <w:r w:rsidRPr="001D65D1">
        <w:rPr>
          <w:rFonts w:ascii="Times New Roman" w:hAnsi="Times New Roman" w:cs="Times New Roman"/>
          <w:sz w:val="24"/>
          <w:szCs w:val="24"/>
        </w:rPr>
        <w:t xml:space="preserve"> </w:t>
      </w:r>
    </w:p>
    <w:p w14:paraId="0501798D" w14:textId="53070430" w:rsidR="001B1C02" w:rsidRDefault="001B1C02" w:rsidP="0009225C">
      <w:pPr>
        <w:spacing w:after="0" w:line="360" w:lineRule="auto"/>
        <w:ind w:firstLine="708"/>
        <w:jc w:val="both"/>
        <w:rPr>
          <w:rFonts w:ascii="Times New Roman" w:hAnsi="Times New Roman" w:cs="Times New Roman"/>
          <w:sz w:val="24"/>
          <w:szCs w:val="24"/>
        </w:rPr>
      </w:pPr>
      <w:r w:rsidRPr="001B1C02">
        <w:rPr>
          <w:rFonts w:ascii="Times New Roman" w:hAnsi="Times New Roman" w:cs="Times New Roman"/>
          <w:sz w:val="24"/>
          <w:szCs w:val="24"/>
        </w:rPr>
        <w:t>Projekt ustawy nie wymaga przedstawienia właściwym instytucjom i organom Unii Europejskiej, w tym Europejskiemu Bankowi Centralnemu, celem uzyskania opinii, dokonania powiadomienia, konsultacji albo uzgodnienia projektu.</w:t>
      </w:r>
    </w:p>
    <w:p w14:paraId="1566A5F5" w14:textId="05594BE1" w:rsidR="00DA094D" w:rsidRPr="000867EB" w:rsidRDefault="00DA094D" w:rsidP="00DA094D">
      <w:pPr>
        <w:spacing w:before="100" w:beforeAutospacing="1" w:line="240" w:lineRule="auto"/>
        <w:jc w:val="both"/>
        <w:rPr>
          <w:rFonts w:ascii="Times New Roman" w:hAnsi="Times New Roman" w:cs="Times New Roman"/>
          <w:b/>
          <w:sz w:val="24"/>
          <w:szCs w:val="24"/>
        </w:rPr>
      </w:pPr>
      <w:r>
        <w:rPr>
          <w:rFonts w:ascii="Times New Roman" w:hAnsi="Times New Roman" w:cs="Times New Roman"/>
          <w:b/>
          <w:sz w:val="24"/>
          <w:szCs w:val="24"/>
        </w:rPr>
        <w:t>8</w:t>
      </w:r>
      <w:r w:rsidRPr="000867EB">
        <w:rPr>
          <w:rFonts w:ascii="Times New Roman" w:hAnsi="Times New Roman" w:cs="Times New Roman"/>
          <w:b/>
          <w:sz w:val="24"/>
          <w:szCs w:val="24"/>
        </w:rPr>
        <w:t>.</w:t>
      </w:r>
      <w:r>
        <w:rPr>
          <w:rFonts w:ascii="Times New Roman" w:hAnsi="Times New Roman" w:cs="Times New Roman"/>
          <w:b/>
          <w:sz w:val="24"/>
          <w:szCs w:val="24"/>
        </w:rPr>
        <w:tab/>
      </w:r>
      <w:r w:rsidRPr="000867EB">
        <w:rPr>
          <w:rFonts w:ascii="Times New Roman" w:hAnsi="Times New Roman" w:cs="Times New Roman"/>
          <w:b/>
          <w:sz w:val="24"/>
          <w:szCs w:val="24"/>
        </w:rPr>
        <w:t>Wpływ na mikroprzedsiębiorców oraz małych i średnich przedsiębiorców</w:t>
      </w:r>
    </w:p>
    <w:p w14:paraId="1DF9721C" w14:textId="51E8485D" w:rsidR="00DA094D" w:rsidRPr="00F55D0A" w:rsidRDefault="00DA094D" w:rsidP="00734E2B">
      <w:pPr>
        <w:pStyle w:val="NIEARTTEKSTtekstnieartykuowanynppodstprawnarozplubpreambua"/>
        <w:spacing w:before="0"/>
        <w:ind w:firstLine="708"/>
        <w:rPr>
          <w:rFonts w:ascii="Times New Roman" w:hAnsi="Times New Roman" w:cs="Times New Roman"/>
          <w:szCs w:val="24"/>
        </w:rPr>
      </w:pPr>
      <w:r w:rsidRPr="00F55D0A">
        <w:rPr>
          <w:rFonts w:ascii="Times New Roman" w:hAnsi="Times New Roman" w:cs="Times New Roman"/>
          <w:szCs w:val="24"/>
        </w:rPr>
        <w:t xml:space="preserve">Projekt </w:t>
      </w:r>
      <w:r>
        <w:rPr>
          <w:rFonts w:ascii="Times New Roman" w:hAnsi="Times New Roman" w:cs="Times New Roman"/>
          <w:szCs w:val="24"/>
        </w:rPr>
        <w:t>ustawy</w:t>
      </w:r>
      <w:r w:rsidRPr="00F55D0A">
        <w:rPr>
          <w:rFonts w:ascii="Times New Roman" w:hAnsi="Times New Roman" w:cs="Times New Roman"/>
          <w:szCs w:val="24"/>
        </w:rPr>
        <w:t xml:space="preserve"> nie dotyczy majątkowych praw i obowiązków przedsiębiorców lub praw i obowiązków przedsiębiorców wobec organów administracji publicznej i nie wpływa na działalność mikroprzedsiębiorców oraz małych i średnich przedsiębiorców.</w:t>
      </w:r>
    </w:p>
    <w:p w14:paraId="4EAA6765" w14:textId="4198FCA1" w:rsidR="00FD49B9" w:rsidRPr="001D65D1" w:rsidRDefault="00DA094D" w:rsidP="001D65D1">
      <w:pPr>
        <w:spacing w:before="100" w:beforeAutospacing="1" w:after="0" w:line="360" w:lineRule="auto"/>
        <w:jc w:val="both"/>
        <w:rPr>
          <w:rFonts w:ascii="Times New Roman" w:hAnsi="Times New Roman" w:cs="Times New Roman"/>
          <w:b/>
          <w:sz w:val="24"/>
          <w:szCs w:val="24"/>
        </w:rPr>
      </w:pPr>
      <w:r>
        <w:rPr>
          <w:rFonts w:ascii="Times New Roman" w:hAnsi="Times New Roman" w:cs="Times New Roman"/>
          <w:b/>
          <w:sz w:val="24"/>
          <w:szCs w:val="24"/>
        </w:rPr>
        <w:t>9</w:t>
      </w:r>
      <w:r w:rsidR="0019079D">
        <w:rPr>
          <w:rFonts w:ascii="Times New Roman" w:hAnsi="Times New Roman" w:cs="Times New Roman"/>
          <w:b/>
          <w:sz w:val="24"/>
          <w:szCs w:val="24"/>
        </w:rPr>
        <w:t>.</w:t>
      </w:r>
      <w:r>
        <w:rPr>
          <w:rFonts w:ascii="Times New Roman" w:hAnsi="Times New Roman" w:cs="Times New Roman"/>
          <w:b/>
          <w:sz w:val="24"/>
          <w:szCs w:val="24"/>
        </w:rPr>
        <w:tab/>
      </w:r>
      <w:r w:rsidR="00FD49B9" w:rsidRPr="001D65D1">
        <w:rPr>
          <w:rFonts w:ascii="Times New Roman" w:hAnsi="Times New Roman" w:cs="Times New Roman"/>
          <w:b/>
          <w:sz w:val="24"/>
          <w:szCs w:val="24"/>
        </w:rPr>
        <w:t>Konsultacje projektu</w:t>
      </w:r>
    </w:p>
    <w:p w14:paraId="4B5D9DF8" w14:textId="6377E483" w:rsidR="00181516" w:rsidRDefault="00DA094D" w:rsidP="009201FC">
      <w:pPr>
        <w:spacing w:after="0" w:line="360" w:lineRule="auto"/>
        <w:ind w:firstLine="708"/>
        <w:jc w:val="both"/>
        <w:rPr>
          <w:rFonts w:ascii="Times New Roman" w:hAnsi="Times New Roman" w:cs="Times New Roman"/>
          <w:sz w:val="24"/>
          <w:szCs w:val="24"/>
        </w:rPr>
      </w:pPr>
      <w:r w:rsidRPr="00DA094D">
        <w:rPr>
          <w:rFonts w:ascii="Times New Roman" w:hAnsi="Times New Roman" w:cs="Times New Roman"/>
          <w:sz w:val="24"/>
          <w:szCs w:val="24"/>
        </w:rPr>
        <w:t>Projekt przedmiotowej regulacji, zgodnie z wymogami określonymi w art. 5 ustawy z</w:t>
      </w:r>
      <w:r w:rsidR="00AF397D">
        <w:rPr>
          <w:rFonts w:ascii="Times New Roman" w:hAnsi="Times New Roman" w:cs="Times New Roman"/>
          <w:sz w:val="24"/>
          <w:szCs w:val="24"/>
        </w:rPr>
        <w:t> </w:t>
      </w:r>
      <w:r w:rsidRPr="00DA094D">
        <w:rPr>
          <w:rFonts w:ascii="Times New Roman" w:hAnsi="Times New Roman" w:cs="Times New Roman"/>
          <w:sz w:val="24"/>
          <w:szCs w:val="24"/>
        </w:rPr>
        <w:t xml:space="preserve">dnia 7 lipca 2005 </w:t>
      </w:r>
      <w:r w:rsidR="00D16D33">
        <w:rPr>
          <w:rFonts w:ascii="Times New Roman" w:hAnsi="Times New Roman" w:cs="Times New Roman"/>
          <w:sz w:val="24"/>
          <w:szCs w:val="24"/>
        </w:rPr>
        <w:t xml:space="preserve">r. </w:t>
      </w:r>
      <w:r w:rsidRPr="00DA094D">
        <w:rPr>
          <w:rFonts w:ascii="Times New Roman" w:hAnsi="Times New Roman" w:cs="Times New Roman"/>
          <w:sz w:val="24"/>
          <w:szCs w:val="24"/>
        </w:rPr>
        <w:t xml:space="preserve">o działalności lobbingowej w procesie stosowania prawa (Dz. U. z 2017 r. poz. 248), zostanie udostępniony w Biuletynie Informacji Publicznej na stronie podmiotowej Rządowego Centrum Legislacji, w serwisie </w:t>
      </w:r>
      <w:r w:rsidR="00E67A67">
        <w:rPr>
          <w:rFonts w:ascii="Times New Roman" w:hAnsi="Times New Roman" w:cs="Times New Roman"/>
          <w:sz w:val="24"/>
          <w:szCs w:val="24"/>
        </w:rPr>
        <w:t>„</w:t>
      </w:r>
      <w:r w:rsidRPr="00DA094D">
        <w:rPr>
          <w:rFonts w:ascii="Times New Roman" w:hAnsi="Times New Roman" w:cs="Times New Roman"/>
          <w:sz w:val="24"/>
          <w:szCs w:val="24"/>
        </w:rPr>
        <w:t>Rządowy Proces Legislacyjny</w:t>
      </w:r>
      <w:r w:rsidR="00E67A67">
        <w:rPr>
          <w:rFonts w:ascii="Times New Roman" w:hAnsi="Times New Roman" w:cs="Times New Roman"/>
          <w:sz w:val="24"/>
          <w:szCs w:val="24"/>
        </w:rPr>
        <w:t>”</w:t>
      </w:r>
      <w:r w:rsidRPr="00DA094D">
        <w:rPr>
          <w:rFonts w:ascii="Times New Roman" w:hAnsi="Times New Roman" w:cs="Times New Roman"/>
          <w:sz w:val="24"/>
          <w:szCs w:val="24"/>
        </w:rPr>
        <w:t xml:space="preserve">. </w:t>
      </w:r>
    </w:p>
    <w:p w14:paraId="5ADDD138" w14:textId="305AF854" w:rsidR="00181516" w:rsidRDefault="00181516" w:rsidP="00181516">
      <w:pPr>
        <w:spacing w:after="0" w:line="360" w:lineRule="auto"/>
        <w:ind w:firstLine="708"/>
        <w:jc w:val="both"/>
        <w:rPr>
          <w:rFonts w:ascii="Times New Roman" w:hAnsi="Times New Roman" w:cs="Times New Roman"/>
          <w:sz w:val="24"/>
          <w:szCs w:val="24"/>
        </w:rPr>
      </w:pPr>
      <w:r w:rsidRPr="00002C75">
        <w:rPr>
          <w:rFonts w:ascii="Times New Roman" w:hAnsi="Times New Roman" w:cs="Times New Roman"/>
          <w:sz w:val="24"/>
          <w:szCs w:val="24"/>
        </w:rPr>
        <w:t xml:space="preserve">Na podstawie </w:t>
      </w:r>
      <w:bookmarkStart w:id="6" w:name="_Hlk75777153"/>
      <w:r w:rsidR="00002C75" w:rsidRPr="00476253">
        <w:rPr>
          <w:rFonts w:ascii="Times New Roman" w:hAnsi="Times New Roman" w:cs="Times New Roman"/>
          <w:sz w:val="24"/>
          <w:szCs w:val="24"/>
        </w:rPr>
        <w:t xml:space="preserve">§ </w:t>
      </w:r>
      <w:r w:rsidR="00544CE2">
        <w:rPr>
          <w:rFonts w:ascii="Times New Roman" w:hAnsi="Times New Roman" w:cs="Times New Roman"/>
          <w:sz w:val="24"/>
          <w:szCs w:val="24"/>
        </w:rPr>
        <w:t>61 ust. 5</w:t>
      </w:r>
      <w:r w:rsidR="00002C75" w:rsidRPr="00476253">
        <w:rPr>
          <w:rFonts w:ascii="Times New Roman" w:hAnsi="Times New Roman" w:cs="Times New Roman"/>
          <w:sz w:val="24"/>
          <w:szCs w:val="24"/>
        </w:rPr>
        <w:t xml:space="preserve"> </w:t>
      </w:r>
      <w:r w:rsidRPr="00181516">
        <w:rPr>
          <w:rFonts w:ascii="Times New Roman" w:hAnsi="Times New Roman" w:cs="Times New Roman"/>
          <w:sz w:val="24"/>
          <w:szCs w:val="24"/>
        </w:rPr>
        <w:t xml:space="preserve">uchwały nr 190 Rady Ministrów </w:t>
      </w:r>
      <w:r w:rsidR="00BF26FA">
        <w:rPr>
          <w:rFonts w:ascii="Times New Roman" w:hAnsi="Times New Roman" w:cs="Times New Roman"/>
          <w:sz w:val="24"/>
          <w:szCs w:val="24"/>
        </w:rPr>
        <w:t>–</w:t>
      </w:r>
      <w:r w:rsidRPr="00181516">
        <w:rPr>
          <w:rFonts w:ascii="Times New Roman" w:hAnsi="Times New Roman" w:cs="Times New Roman"/>
          <w:sz w:val="24"/>
          <w:szCs w:val="24"/>
        </w:rPr>
        <w:t xml:space="preserve"> Regulamin pracy Rady Ministrów </w:t>
      </w:r>
      <w:bookmarkEnd w:id="6"/>
      <w:r w:rsidRPr="00181516">
        <w:rPr>
          <w:rFonts w:ascii="Times New Roman" w:hAnsi="Times New Roman" w:cs="Times New Roman"/>
          <w:sz w:val="24"/>
          <w:szCs w:val="24"/>
        </w:rPr>
        <w:t>projekt skierowa</w:t>
      </w:r>
      <w:r w:rsidR="005D3089">
        <w:rPr>
          <w:rFonts w:ascii="Times New Roman" w:hAnsi="Times New Roman" w:cs="Times New Roman"/>
          <w:sz w:val="24"/>
          <w:szCs w:val="24"/>
        </w:rPr>
        <w:t>ny</w:t>
      </w:r>
      <w:r w:rsidRPr="00181516">
        <w:rPr>
          <w:rFonts w:ascii="Times New Roman" w:hAnsi="Times New Roman" w:cs="Times New Roman"/>
          <w:sz w:val="24"/>
          <w:szCs w:val="24"/>
        </w:rPr>
        <w:t xml:space="preserve"> </w:t>
      </w:r>
      <w:r w:rsidR="005D3089">
        <w:rPr>
          <w:rFonts w:ascii="Times New Roman" w:hAnsi="Times New Roman" w:cs="Times New Roman"/>
          <w:sz w:val="24"/>
          <w:szCs w:val="24"/>
        </w:rPr>
        <w:t xml:space="preserve">jest </w:t>
      </w:r>
      <w:r w:rsidRPr="00181516">
        <w:rPr>
          <w:rFonts w:ascii="Times New Roman" w:hAnsi="Times New Roman" w:cs="Times New Roman"/>
          <w:sz w:val="24"/>
          <w:szCs w:val="24"/>
        </w:rPr>
        <w:t xml:space="preserve">bezpośrednio do rozpatrzenia przez </w:t>
      </w:r>
      <w:r w:rsidR="00544CE2">
        <w:rPr>
          <w:rFonts w:ascii="Times New Roman" w:hAnsi="Times New Roman" w:cs="Times New Roman"/>
          <w:sz w:val="24"/>
          <w:szCs w:val="24"/>
        </w:rPr>
        <w:t xml:space="preserve">Stały Komitet </w:t>
      </w:r>
      <w:r w:rsidR="00FB6AB7">
        <w:rPr>
          <w:rFonts w:ascii="Times New Roman" w:hAnsi="Times New Roman" w:cs="Times New Roman"/>
          <w:sz w:val="24"/>
          <w:szCs w:val="24"/>
        </w:rPr>
        <w:t>Rad</w:t>
      </w:r>
      <w:r w:rsidR="00484C70">
        <w:rPr>
          <w:rFonts w:ascii="Times New Roman" w:hAnsi="Times New Roman" w:cs="Times New Roman"/>
          <w:sz w:val="24"/>
          <w:szCs w:val="24"/>
        </w:rPr>
        <w:t>ę</w:t>
      </w:r>
      <w:r w:rsidR="00FB6AB7">
        <w:rPr>
          <w:rFonts w:ascii="Times New Roman" w:hAnsi="Times New Roman" w:cs="Times New Roman"/>
          <w:sz w:val="24"/>
          <w:szCs w:val="24"/>
        </w:rPr>
        <w:t xml:space="preserve"> </w:t>
      </w:r>
      <w:r w:rsidRPr="00181516">
        <w:rPr>
          <w:rFonts w:ascii="Times New Roman" w:hAnsi="Times New Roman" w:cs="Times New Roman"/>
          <w:sz w:val="24"/>
          <w:szCs w:val="24"/>
        </w:rPr>
        <w:t xml:space="preserve">Ministrów, z pominięciem etapu uzgodnień międzyresortowych, konsultacji publicznych i opiniowania. </w:t>
      </w:r>
    </w:p>
    <w:sectPr w:rsidR="0018151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36651" w14:textId="77777777" w:rsidR="005B77EA" w:rsidRDefault="005B77EA" w:rsidP="00312D95">
      <w:pPr>
        <w:spacing w:after="0" w:line="240" w:lineRule="auto"/>
      </w:pPr>
      <w:r>
        <w:separator/>
      </w:r>
    </w:p>
  </w:endnote>
  <w:endnote w:type="continuationSeparator" w:id="0">
    <w:p w14:paraId="050862EF" w14:textId="77777777" w:rsidR="005B77EA" w:rsidRDefault="005B77EA" w:rsidP="00312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771062"/>
      <w:docPartObj>
        <w:docPartGallery w:val="Page Numbers (Bottom of Page)"/>
        <w:docPartUnique/>
      </w:docPartObj>
    </w:sdtPr>
    <w:sdtEndPr>
      <w:rPr>
        <w:rFonts w:ascii="Times New Roman" w:hAnsi="Times New Roman" w:cs="Times New Roman"/>
        <w:sz w:val="24"/>
        <w:szCs w:val="24"/>
      </w:rPr>
    </w:sdtEndPr>
    <w:sdtContent>
      <w:p w14:paraId="1F2575EA" w14:textId="7BA06833" w:rsidR="009201FC" w:rsidRPr="009201FC" w:rsidRDefault="009201FC">
        <w:pPr>
          <w:pStyle w:val="Stopka"/>
          <w:jc w:val="center"/>
          <w:rPr>
            <w:rFonts w:ascii="Times New Roman" w:hAnsi="Times New Roman" w:cs="Times New Roman"/>
            <w:sz w:val="24"/>
            <w:szCs w:val="24"/>
          </w:rPr>
        </w:pPr>
        <w:r w:rsidRPr="009201FC">
          <w:rPr>
            <w:rFonts w:ascii="Times New Roman" w:hAnsi="Times New Roman" w:cs="Times New Roman"/>
            <w:sz w:val="24"/>
            <w:szCs w:val="24"/>
          </w:rPr>
          <w:fldChar w:fldCharType="begin"/>
        </w:r>
        <w:r w:rsidRPr="009201FC">
          <w:rPr>
            <w:rFonts w:ascii="Times New Roman" w:hAnsi="Times New Roman" w:cs="Times New Roman"/>
            <w:sz w:val="24"/>
            <w:szCs w:val="24"/>
          </w:rPr>
          <w:instrText>PAGE   \* MERGEFORMAT</w:instrText>
        </w:r>
        <w:r w:rsidRPr="009201FC">
          <w:rPr>
            <w:rFonts w:ascii="Times New Roman" w:hAnsi="Times New Roman" w:cs="Times New Roman"/>
            <w:sz w:val="24"/>
            <w:szCs w:val="24"/>
          </w:rPr>
          <w:fldChar w:fldCharType="separate"/>
        </w:r>
        <w:r w:rsidR="008174E9">
          <w:rPr>
            <w:rFonts w:ascii="Times New Roman" w:hAnsi="Times New Roman" w:cs="Times New Roman"/>
            <w:noProof/>
            <w:sz w:val="24"/>
            <w:szCs w:val="24"/>
          </w:rPr>
          <w:t>1</w:t>
        </w:r>
        <w:r w:rsidRPr="009201FC">
          <w:rPr>
            <w:rFonts w:ascii="Times New Roman" w:hAnsi="Times New Roman" w:cs="Times New Roman"/>
            <w:sz w:val="24"/>
            <w:szCs w:val="24"/>
          </w:rPr>
          <w:fldChar w:fldCharType="end"/>
        </w:r>
      </w:p>
    </w:sdtContent>
  </w:sdt>
  <w:p w14:paraId="7ED91F69" w14:textId="77777777" w:rsidR="009201FC" w:rsidRDefault="009201F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BBD81" w14:textId="77777777" w:rsidR="005B77EA" w:rsidRDefault="005B77EA" w:rsidP="00312D95">
      <w:pPr>
        <w:spacing w:after="0" w:line="240" w:lineRule="auto"/>
      </w:pPr>
      <w:r>
        <w:separator/>
      </w:r>
    </w:p>
  </w:footnote>
  <w:footnote w:type="continuationSeparator" w:id="0">
    <w:p w14:paraId="38D001FF" w14:textId="77777777" w:rsidR="005B77EA" w:rsidRDefault="005B77EA" w:rsidP="00312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47BC"/>
    <w:multiLevelType w:val="hybridMultilevel"/>
    <w:tmpl w:val="6E26200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 w15:restartNumberingAfterBreak="0">
    <w:nsid w:val="030A3C46"/>
    <w:multiLevelType w:val="hybridMultilevel"/>
    <w:tmpl w:val="92C625CA"/>
    <w:lvl w:ilvl="0" w:tplc="C79E83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C32F81"/>
    <w:multiLevelType w:val="hybridMultilevel"/>
    <w:tmpl w:val="562E8A2A"/>
    <w:lvl w:ilvl="0" w:tplc="C79E83AC">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 w15:restartNumberingAfterBreak="0">
    <w:nsid w:val="16C53D00"/>
    <w:multiLevelType w:val="hybridMultilevel"/>
    <w:tmpl w:val="FE52329A"/>
    <w:lvl w:ilvl="0" w:tplc="0FC6A650">
      <w:start w:val="2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 w15:restartNumberingAfterBreak="0">
    <w:nsid w:val="16D5125F"/>
    <w:multiLevelType w:val="hybridMultilevel"/>
    <w:tmpl w:val="0AEA0B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D855C2"/>
    <w:multiLevelType w:val="hybridMultilevel"/>
    <w:tmpl w:val="7F6CD4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AD59C9"/>
    <w:multiLevelType w:val="hybridMultilevel"/>
    <w:tmpl w:val="46521F34"/>
    <w:lvl w:ilvl="0" w:tplc="E0FE150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3B833F9C"/>
    <w:multiLevelType w:val="hybridMultilevel"/>
    <w:tmpl w:val="EB48E8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FB24DED"/>
    <w:multiLevelType w:val="hybridMultilevel"/>
    <w:tmpl w:val="A66AC3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3D57BC0"/>
    <w:multiLevelType w:val="hybridMultilevel"/>
    <w:tmpl w:val="D43CB54A"/>
    <w:lvl w:ilvl="0" w:tplc="44D85F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811687"/>
    <w:multiLevelType w:val="hybridMultilevel"/>
    <w:tmpl w:val="BEEACB78"/>
    <w:lvl w:ilvl="0" w:tplc="04150011">
      <w:start w:val="1"/>
      <w:numFmt w:val="decimal"/>
      <w:lvlText w:val="%1)"/>
      <w:lvlJc w:val="left"/>
      <w:pPr>
        <w:ind w:left="8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6E4906"/>
    <w:multiLevelType w:val="hybridMultilevel"/>
    <w:tmpl w:val="8486791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7DA0DD6"/>
    <w:multiLevelType w:val="hybridMultilevel"/>
    <w:tmpl w:val="EB2ECF36"/>
    <w:lvl w:ilvl="0" w:tplc="8FA099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CFC7923"/>
    <w:multiLevelType w:val="hybridMultilevel"/>
    <w:tmpl w:val="1FB83B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4111A6D"/>
    <w:multiLevelType w:val="hybridMultilevel"/>
    <w:tmpl w:val="276CD5F8"/>
    <w:lvl w:ilvl="0" w:tplc="DD7A1EA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64CA54E2"/>
    <w:multiLevelType w:val="hybridMultilevel"/>
    <w:tmpl w:val="14EACE52"/>
    <w:lvl w:ilvl="0" w:tplc="8FBA50BE">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6" w15:restartNumberingAfterBreak="0">
    <w:nsid w:val="65552A55"/>
    <w:multiLevelType w:val="hybridMultilevel"/>
    <w:tmpl w:val="E3BAF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8530AE2"/>
    <w:multiLevelType w:val="hybridMultilevel"/>
    <w:tmpl w:val="ED242AE4"/>
    <w:lvl w:ilvl="0" w:tplc="27D8D510">
      <w:start w:val="2"/>
      <w:numFmt w:val="bullet"/>
      <w:lvlText w:val="•"/>
      <w:lvlJc w:val="left"/>
      <w:pPr>
        <w:ind w:left="720" w:hanging="360"/>
      </w:pPr>
      <w:rPr>
        <w:rFonts w:ascii="Times New Roman" w:eastAsia="Times New Roman" w:hAnsi="Times New Roman" w:cs="Times New Roman" w:hint="default"/>
      </w:rPr>
    </w:lvl>
    <w:lvl w:ilvl="1" w:tplc="568E1C36" w:tentative="1">
      <w:start w:val="1"/>
      <w:numFmt w:val="lowerLetter"/>
      <w:lvlText w:val="%2."/>
      <w:lvlJc w:val="left"/>
      <w:pPr>
        <w:ind w:left="1440" w:hanging="360"/>
      </w:pPr>
    </w:lvl>
    <w:lvl w:ilvl="2" w:tplc="9632793C" w:tentative="1">
      <w:start w:val="1"/>
      <w:numFmt w:val="lowerRoman"/>
      <w:lvlText w:val="%3."/>
      <w:lvlJc w:val="right"/>
      <w:pPr>
        <w:ind w:left="2160" w:hanging="180"/>
      </w:pPr>
    </w:lvl>
    <w:lvl w:ilvl="3" w:tplc="50486946" w:tentative="1">
      <w:start w:val="1"/>
      <w:numFmt w:val="decimal"/>
      <w:lvlText w:val="%4."/>
      <w:lvlJc w:val="left"/>
      <w:pPr>
        <w:ind w:left="2880" w:hanging="360"/>
      </w:pPr>
    </w:lvl>
    <w:lvl w:ilvl="4" w:tplc="417A3910" w:tentative="1">
      <w:start w:val="1"/>
      <w:numFmt w:val="lowerLetter"/>
      <w:lvlText w:val="%5."/>
      <w:lvlJc w:val="left"/>
      <w:pPr>
        <w:ind w:left="3600" w:hanging="360"/>
      </w:pPr>
    </w:lvl>
    <w:lvl w:ilvl="5" w:tplc="96060DE2" w:tentative="1">
      <w:start w:val="1"/>
      <w:numFmt w:val="lowerRoman"/>
      <w:lvlText w:val="%6."/>
      <w:lvlJc w:val="right"/>
      <w:pPr>
        <w:ind w:left="4320" w:hanging="180"/>
      </w:pPr>
    </w:lvl>
    <w:lvl w:ilvl="6" w:tplc="0F02058A" w:tentative="1">
      <w:start w:val="1"/>
      <w:numFmt w:val="decimal"/>
      <w:lvlText w:val="%7."/>
      <w:lvlJc w:val="left"/>
      <w:pPr>
        <w:ind w:left="5040" w:hanging="360"/>
      </w:pPr>
    </w:lvl>
    <w:lvl w:ilvl="7" w:tplc="FE2C7D38" w:tentative="1">
      <w:start w:val="1"/>
      <w:numFmt w:val="lowerLetter"/>
      <w:lvlText w:val="%8."/>
      <w:lvlJc w:val="left"/>
      <w:pPr>
        <w:ind w:left="5760" w:hanging="360"/>
      </w:pPr>
    </w:lvl>
    <w:lvl w:ilvl="8" w:tplc="451476E4" w:tentative="1">
      <w:start w:val="1"/>
      <w:numFmt w:val="lowerRoman"/>
      <w:lvlText w:val="%9."/>
      <w:lvlJc w:val="right"/>
      <w:pPr>
        <w:ind w:left="6480" w:hanging="180"/>
      </w:pPr>
    </w:lvl>
  </w:abstractNum>
  <w:abstractNum w:abstractNumId="18" w15:restartNumberingAfterBreak="0">
    <w:nsid w:val="72754F77"/>
    <w:multiLevelType w:val="hybridMultilevel"/>
    <w:tmpl w:val="87EE1F3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2024898081">
    <w:abstractNumId w:val="16"/>
  </w:num>
  <w:num w:numId="2" w16cid:durableId="1158889205">
    <w:abstractNumId w:val="5"/>
  </w:num>
  <w:num w:numId="3" w16cid:durableId="1617104124">
    <w:abstractNumId w:val="18"/>
  </w:num>
  <w:num w:numId="4" w16cid:durableId="1130979600">
    <w:abstractNumId w:val="3"/>
  </w:num>
  <w:num w:numId="5" w16cid:durableId="2092653364">
    <w:abstractNumId w:val="10"/>
  </w:num>
  <w:num w:numId="6" w16cid:durableId="1213157458">
    <w:abstractNumId w:val="4"/>
  </w:num>
  <w:num w:numId="7" w16cid:durableId="612791439">
    <w:abstractNumId w:val="13"/>
  </w:num>
  <w:num w:numId="8" w16cid:durableId="1699962768">
    <w:abstractNumId w:val="0"/>
  </w:num>
  <w:num w:numId="9" w16cid:durableId="1834299037">
    <w:abstractNumId w:val="11"/>
  </w:num>
  <w:num w:numId="10" w16cid:durableId="1074163635">
    <w:abstractNumId w:val="12"/>
  </w:num>
  <w:num w:numId="11" w16cid:durableId="727344151">
    <w:abstractNumId w:val="17"/>
  </w:num>
  <w:num w:numId="12" w16cid:durableId="2116289766">
    <w:abstractNumId w:val="6"/>
  </w:num>
  <w:num w:numId="13" w16cid:durableId="572737010">
    <w:abstractNumId w:val="14"/>
  </w:num>
  <w:num w:numId="14" w16cid:durableId="1559509423">
    <w:abstractNumId w:val="15"/>
  </w:num>
  <w:num w:numId="15" w16cid:durableId="1122921029">
    <w:abstractNumId w:val="1"/>
  </w:num>
  <w:num w:numId="16" w16cid:durableId="414789082">
    <w:abstractNumId w:val="2"/>
  </w:num>
  <w:num w:numId="17" w16cid:durableId="1939022608">
    <w:abstractNumId w:val="8"/>
  </w:num>
  <w:num w:numId="18" w16cid:durableId="1804034003">
    <w:abstractNumId w:val="9"/>
  </w:num>
  <w:num w:numId="19" w16cid:durableId="3712244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FA8"/>
    <w:rsid w:val="000028A1"/>
    <w:rsid w:val="00002C75"/>
    <w:rsid w:val="0000496B"/>
    <w:rsid w:val="00007F8B"/>
    <w:rsid w:val="000207E8"/>
    <w:rsid w:val="00022471"/>
    <w:rsid w:val="00025FAE"/>
    <w:rsid w:val="00031673"/>
    <w:rsid w:val="00031CA9"/>
    <w:rsid w:val="0003278A"/>
    <w:rsid w:val="00037639"/>
    <w:rsid w:val="00046012"/>
    <w:rsid w:val="00066FA5"/>
    <w:rsid w:val="0007133C"/>
    <w:rsid w:val="000717D7"/>
    <w:rsid w:val="00073550"/>
    <w:rsid w:val="0007524D"/>
    <w:rsid w:val="0007550F"/>
    <w:rsid w:val="0007753D"/>
    <w:rsid w:val="00084508"/>
    <w:rsid w:val="0008779C"/>
    <w:rsid w:val="0009225C"/>
    <w:rsid w:val="000936FC"/>
    <w:rsid w:val="000A03F5"/>
    <w:rsid w:val="000A1122"/>
    <w:rsid w:val="000A141D"/>
    <w:rsid w:val="000A1B93"/>
    <w:rsid w:val="000B1A35"/>
    <w:rsid w:val="000B3554"/>
    <w:rsid w:val="000B6641"/>
    <w:rsid w:val="000C222B"/>
    <w:rsid w:val="000C44EF"/>
    <w:rsid w:val="000C5641"/>
    <w:rsid w:val="000D0797"/>
    <w:rsid w:val="000D25D4"/>
    <w:rsid w:val="000D4E23"/>
    <w:rsid w:val="000D6427"/>
    <w:rsid w:val="000E3036"/>
    <w:rsid w:val="000F026B"/>
    <w:rsid w:val="000F054F"/>
    <w:rsid w:val="000F4C2C"/>
    <w:rsid w:val="001017F3"/>
    <w:rsid w:val="00101C1A"/>
    <w:rsid w:val="00106BC7"/>
    <w:rsid w:val="00106F3F"/>
    <w:rsid w:val="00110591"/>
    <w:rsid w:val="00116F59"/>
    <w:rsid w:val="001260CF"/>
    <w:rsid w:val="001278FD"/>
    <w:rsid w:val="00131DDD"/>
    <w:rsid w:val="00132FBC"/>
    <w:rsid w:val="00133BF3"/>
    <w:rsid w:val="00134601"/>
    <w:rsid w:val="00134EAE"/>
    <w:rsid w:val="00140EC3"/>
    <w:rsid w:val="00142B07"/>
    <w:rsid w:val="00145399"/>
    <w:rsid w:val="00150A8B"/>
    <w:rsid w:val="00155FD5"/>
    <w:rsid w:val="00156238"/>
    <w:rsid w:val="00160371"/>
    <w:rsid w:val="00162EFF"/>
    <w:rsid w:val="001642ED"/>
    <w:rsid w:val="00170ABE"/>
    <w:rsid w:val="001725BC"/>
    <w:rsid w:val="00172D5C"/>
    <w:rsid w:val="0017464E"/>
    <w:rsid w:val="00176250"/>
    <w:rsid w:val="001766CF"/>
    <w:rsid w:val="00181516"/>
    <w:rsid w:val="0019079D"/>
    <w:rsid w:val="00190DF1"/>
    <w:rsid w:val="00197A48"/>
    <w:rsid w:val="001A3016"/>
    <w:rsid w:val="001A6190"/>
    <w:rsid w:val="001A7C44"/>
    <w:rsid w:val="001B01F7"/>
    <w:rsid w:val="001B1C02"/>
    <w:rsid w:val="001B40F8"/>
    <w:rsid w:val="001B78B3"/>
    <w:rsid w:val="001C03B6"/>
    <w:rsid w:val="001C327C"/>
    <w:rsid w:val="001C4394"/>
    <w:rsid w:val="001D10E0"/>
    <w:rsid w:val="001D2283"/>
    <w:rsid w:val="001D3B10"/>
    <w:rsid w:val="001D65D1"/>
    <w:rsid w:val="001D7D90"/>
    <w:rsid w:val="001E07ED"/>
    <w:rsid w:val="001E24A7"/>
    <w:rsid w:val="001E2F1A"/>
    <w:rsid w:val="001E6BC3"/>
    <w:rsid w:val="001F370B"/>
    <w:rsid w:val="001F5EAC"/>
    <w:rsid w:val="001F6561"/>
    <w:rsid w:val="0020471A"/>
    <w:rsid w:val="00207F07"/>
    <w:rsid w:val="00210DE7"/>
    <w:rsid w:val="0021126F"/>
    <w:rsid w:val="0023032C"/>
    <w:rsid w:val="00235E90"/>
    <w:rsid w:val="00236ADF"/>
    <w:rsid w:val="002603A9"/>
    <w:rsid w:val="0026061A"/>
    <w:rsid w:val="00261F75"/>
    <w:rsid w:val="0026672E"/>
    <w:rsid w:val="00272C72"/>
    <w:rsid w:val="002769CF"/>
    <w:rsid w:val="00276FC2"/>
    <w:rsid w:val="00277016"/>
    <w:rsid w:val="00283297"/>
    <w:rsid w:val="002931B8"/>
    <w:rsid w:val="002953AE"/>
    <w:rsid w:val="002A28D5"/>
    <w:rsid w:val="002A34F2"/>
    <w:rsid w:val="002A679D"/>
    <w:rsid w:val="002A76D4"/>
    <w:rsid w:val="002C0AF9"/>
    <w:rsid w:val="002D7CB5"/>
    <w:rsid w:val="002E0D64"/>
    <w:rsid w:val="002E2685"/>
    <w:rsid w:val="002E3C33"/>
    <w:rsid w:val="002E3E11"/>
    <w:rsid w:val="002E7167"/>
    <w:rsid w:val="002E7251"/>
    <w:rsid w:val="002F475C"/>
    <w:rsid w:val="00300FEC"/>
    <w:rsid w:val="00310E82"/>
    <w:rsid w:val="00312D95"/>
    <w:rsid w:val="003223FD"/>
    <w:rsid w:val="0032460A"/>
    <w:rsid w:val="00326230"/>
    <w:rsid w:val="0033232D"/>
    <w:rsid w:val="00337514"/>
    <w:rsid w:val="0034306A"/>
    <w:rsid w:val="003504FD"/>
    <w:rsid w:val="00354950"/>
    <w:rsid w:val="00354CE1"/>
    <w:rsid w:val="0035603A"/>
    <w:rsid w:val="00370416"/>
    <w:rsid w:val="00370DAD"/>
    <w:rsid w:val="003727EC"/>
    <w:rsid w:val="00373ABB"/>
    <w:rsid w:val="00374EAE"/>
    <w:rsid w:val="00376E79"/>
    <w:rsid w:val="00381810"/>
    <w:rsid w:val="00383B74"/>
    <w:rsid w:val="00384096"/>
    <w:rsid w:val="00385894"/>
    <w:rsid w:val="00392DBE"/>
    <w:rsid w:val="003A1AD9"/>
    <w:rsid w:val="003A6304"/>
    <w:rsid w:val="003A68CF"/>
    <w:rsid w:val="003B7FEE"/>
    <w:rsid w:val="003C223D"/>
    <w:rsid w:val="003C7E69"/>
    <w:rsid w:val="003D0CA5"/>
    <w:rsid w:val="003D279F"/>
    <w:rsid w:val="003D6A69"/>
    <w:rsid w:val="003E7458"/>
    <w:rsid w:val="0040086D"/>
    <w:rsid w:val="00402702"/>
    <w:rsid w:val="004036EF"/>
    <w:rsid w:val="00407BCF"/>
    <w:rsid w:val="00414EF5"/>
    <w:rsid w:val="00424049"/>
    <w:rsid w:val="004321DC"/>
    <w:rsid w:val="00432C6B"/>
    <w:rsid w:val="00435495"/>
    <w:rsid w:val="0043570A"/>
    <w:rsid w:val="00445BC6"/>
    <w:rsid w:val="00446811"/>
    <w:rsid w:val="004508EF"/>
    <w:rsid w:val="0045258C"/>
    <w:rsid w:val="00463485"/>
    <w:rsid w:val="00463EB3"/>
    <w:rsid w:val="004645EA"/>
    <w:rsid w:val="00465A59"/>
    <w:rsid w:val="004667A7"/>
    <w:rsid w:val="00467B52"/>
    <w:rsid w:val="004708ED"/>
    <w:rsid w:val="0047295E"/>
    <w:rsid w:val="00472CED"/>
    <w:rsid w:val="00476253"/>
    <w:rsid w:val="00480C6E"/>
    <w:rsid w:val="00482FC5"/>
    <w:rsid w:val="00483819"/>
    <w:rsid w:val="00484C70"/>
    <w:rsid w:val="00486D2A"/>
    <w:rsid w:val="00487BCF"/>
    <w:rsid w:val="0049217D"/>
    <w:rsid w:val="004937CB"/>
    <w:rsid w:val="004942CB"/>
    <w:rsid w:val="004A0DAF"/>
    <w:rsid w:val="004A19BB"/>
    <w:rsid w:val="004A249B"/>
    <w:rsid w:val="004A4A9C"/>
    <w:rsid w:val="004A62B4"/>
    <w:rsid w:val="004A6376"/>
    <w:rsid w:val="004A6F79"/>
    <w:rsid w:val="004A740E"/>
    <w:rsid w:val="004B0A3E"/>
    <w:rsid w:val="004B11A7"/>
    <w:rsid w:val="004B366C"/>
    <w:rsid w:val="004C12B8"/>
    <w:rsid w:val="004D0491"/>
    <w:rsid w:val="004D3D12"/>
    <w:rsid w:val="004D3F4C"/>
    <w:rsid w:val="004D606A"/>
    <w:rsid w:val="004E16C3"/>
    <w:rsid w:val="004E39BE"/>
    <w:rsid w:val="004E4FD9"/>
    <w:rsid w:val="004E5026"/>
    <w:rsid w:val="004E5293"/>
    <w:rsid w:val="004F19FF"/>
    <w:rsid w:val="0050063F"/>
    <w:rsid w:val="00501A65"/>
    <w:rsid w:val="00511FA8"/>
    <w:rsid w:val="00513537"/>
    <w:rsid w:val="00516F88"/>
    <w:rsid w:val="00522033"/>
    <w:rsid w:val="005245C7"/>
    <w:rsid w:val="0052752B"/>
    <w:rsid w:val="0053461F"/>
    <w:rsid w:val="00537428"/>
    <w:rsid w:val="005426E6"/>
    <w:rsid w:val="00543A24"/>
    <w:rsid w:val="00544CE2"/>
    <w:rsid w:val="005565FB"/>
    <w:rsid w:val="00556ACB"/>
    <w:rsid w:val="00556DBB"/>
    <w:rsid w:val="00562D28"/>
    <w:rsid w:val="00565968"/>
    <w:rsid w:val="005764A1"/>
    <w:rsid w:val="0058675B"/>
    <w:rsid w:val="00586914"/>
    <w:rsid w:val="005879D7"/>
    <w:rsid w:val="00597BE0"/>
    <w:rsid w:val="005A0A16"/>
    <w:rsid w:val="005A7C36"/>
    <w:rsid w:val="005B77EA"/>
    <w:rsid w:val="005C07A5"/>
    <w:rsid w:val="005C37C4"/>
    <w:rsid w:val="005C3E36"/>
    <w:rsid w:val="005C42C9"/>
    <w:rsid w:val="005C44EB"/>
    <w:rsid w:val="005D08FB"/>
    <w:rsid w:val="005D1797"/>
    <w:rsid w:val="005D3089"/>
    <w:rsid w:val="005D68EF"/>
    <w:rsid w:val="005D73DC"/>
    <w:rsid w:val="005E0E96"/>
    <w:rsid w:val="005E3659"/>
    <w:rsid w:val="005E57D6"/>
    <w:rsid w:val="005E6CA8"/>
    <w:rsid w:val="005F1F06"/>
    <w:rsid w:val="005F36DA"/>
    <w:rsid w:val="005F40CF"/>
    <w:rsid w:val="005F5EE8"/>
    <w:rsid w:val="006006D5"/>
    <w:rsid w:val="00603B87"/>
    <w:rsid w:val="00604A6E"/>
    <w:rsid w:val="006066E5"/>
    <w:rsid w:val="00610309"/>
    <w:rsid w:val="0061144F"/>
    <w:rsid w:val="006147B8"/>
    <w:rsid w:val="00616416"/>
    <w:rsid w:val="0062213C"/>
    <w:rsid w:val="00623115"/>
    <w:rsid w:val="00627908"/>
    <w:rsid w:val="0063113F"/>
    <w:rsid w:val="00633473"/>
    <w:rsid w:val="0063794F"/>
    <w:rsid w:val="00637CF3"/>
    <w:rsid w:val="00652D5B"/>
    <w:rsid w:val="00652EDE"/>
    <w:rsid w:val="00654E7A"/>
    <w:rsid w:val="00660BC7"/>
    <w:rsid w:val="00661FEE"/>
    <w:rsid w:val="00662D41"/>
    <w:rsid w:val="00664FF6"/>
    <w:rsid w:val="006715A2"/>
    <w:rsid w:val="00673FDE"/>
    <w:rsid w:val="00674496"/>
    <w:rsid w:val="006753E9"/>
    <w:rsid w:val="0067585F"/>
    <w:rsid w:val="00677FD2"/>
    <w:rsid w:val="00684D36"/>
    <w:rsid w:val="00685564"/>
    <w:rsid w:val="00690739"/>
    <w:rsid w:val="00691108"/>
    <w:rsid w:val="006922FE"/>
    <w:rsid w:val="00696D02"/>
    <w:rsid w:val="006A4211"/>
    <w:rsid w:val="006A570F"/>
    <w:rsid w:val="006B40A3"/>
    <w:rsid w:val="006B4A46"/>
    <w:rsid w:val="006B5E87"/>
    <w:rsid w:val="006C1AEF"/>
    <w:rsid w:val="006C2C99"/>
    <w:rsid w:val="006C2F1E"/>
    <w:rsid w:val="006C50AF"/>
    <w:rsid w:val="006C6C12"/>
    <w:rsid w:val="006C799F"/>
    <w:rsid w:val="006D0776"/>
    <w:rsid w:val="006D0DA4"/>
    <w:rsid w:val="006D1908"/>
    <w:rsid w:val="006D3BCF"/>
    <w:rsid w:val="006E2A4A"/>
    <w:rsid w:val="006E59FC"/>
    <w:rsid w:val="006E5C3A"/>
    <w:rsid w:val="006F41A2"/>
    <w:rsid w:val="006F486F"/>
    <w:rsid w:val="0071195F"/>
    <w:rsid w:val="00726740"/>
    <w:rsid w:val="00726821"/>
    <w:rsid w:val="0072792E"/>
    <w:rsid w:val="00732788"/>
    <w:rsid w:val="00734E2B"/>
    <w:rsid w:val="0074085D"/>
    <w:rsid w:val="00745A50"/>
    <w:rsid w:val="007470EB"/>
    <w:rsid w:val="00750754"/>
    <w:rsid w:val="00750E55"/>
    <w:rsid w:val="00756D41"/>
    <w:rsid w:val="0075799B"/>
    <w:rsid w:val="00760FE1"/>
    <w:rsid w:val="007660E2"/>
    <w:rsid w:val="007700D1"/>
    <w:rsid w:val="00770AB2"/>
    <w:rsid w:val="007713E6"/>
    <w:rsid w:val="007716B9"/>
    <w:rsid w:val="00771FC6"/>
    <w:rsid w:val="00775909"/>
    <w:rsid w:val="00785A13"/>
    <w:rsid w:val="00785C82"/>
    <w:rsid w:val="0078738A"/>
    <w:rsid w:val="007915DB"/>
    <w:rsid w:val="00793851"/>
    <w:rsid w:val="007947DC"/>
    <w:rsid w:val="00796AC9"/>
    <w:rsid w:val="00797144"/>
    <w:rsid w:val="007A5148"/>
    <w:rsid w:val="007A70E9"/>
    <w:rsid w:val="007B43CC"/>
    <w:rsid w:val="007B6E07"/>
    <w:rsid w:val="007C3703"/>
    <w:rsid w:val="007D60F3"/>
    <w:rsid w:val="007E0C4A"/>
    <w:rsid w:val="007E2D92"/>
    <w:rsid w:val="007E467E"/>
    <w:rsid w:val="007E7753"/>
    <w:rsid w:val="007F30DD"/>
    <w:rsid w:val="007F33F5"/>
    <w:rsid w:val="007F49A5"/>
    <w:rsid w:val="007F579E"/>
    <w:rsid w:val="008037E1"/>
    <w:rsid w:val="00805033"/>
    <w:rsid w:val="00805D64"/>
    <w:rsid w:val="00805F06"/>
    <w:rsid w:val="008072BF"/>
    <w:rsid w:val="00811955"/>
    <w:rsid w:val="00814AAB"/>
    <w:rsid w:val="008174E9"/>
    <w:rsid w:val="00817B24"/>
    <w:rsid w:val="008209FA"/>
    <w:rsid w:val="0082266C"/>
    <w:rsid w:val="00827218"/>
    <w:rsid w:val="00834023"/>
    <w:rsid w:val="00844781"/>
    <w:rsid w:val="008456A7"/>
    <w:rsid w:val="00846575"/>
    <w:rsid w:val="0084706D"/>
    <w:rsid w:val="00847D8E"/>
    <w:rsid w:val="00854061"/>
    <w:rsid w:val="00854283"/>
    <w:rsid w:val="00857F6F"/>
    <w:rsid w:val="008612CE"/>
    <w:rsid w:val="0086141F"/>
    <w:rsid w:val="00861FD2"/>
    <w:rsid w:val="0086439D"/>
    <w:rsid w:val="0086718E"/>
    <w:rsid w:val="008704B6"/>
    <w:rsid w:val="008729E5"/>
    <w:rsid w:val="00876FF8"/>
    <w:rsid w:val="008773FE"/>
    <w:rsid w:val="00877AA9"/>
    <w:rsid w:val="00884F6B"/>
    <w:rsid w:val="0089137F"/>
    <w:rsid w:val="0089469A"/>
    <w:rsid w:val="008948D4"/>
    <w:rsid w:val="00896158"/>
    <w:rsid w:val="008A0D01"/>
    <w:rsid w:val="008B16C4"/>
    <w:rsid w:val="008B5065"/>
    <w:rsid w:val="008B5C92"/>
    <w:rsid w:val="008B7731"/>
    <w:rsid w:val="008C1AF6"/>
    <w:rsid w:val="008C24FC"/>
    <w:rsid w:val="008C611B"/>
    <w:rsid w:val="008D7972"/>
    <w:rsid w:val="008D7D61"/>
    <w:rsid w:val="008E1E53"/>
    <w:rsid w:val="008E7235"/>
    <w:rsid w:val="008F0A93"/>
    <w:rsid w:val="008F1C49"/>
    <w:rsid w:val="008F4375"/>
    <w:rsid w:val="008F6455"/>
    <w:rsid w:val="0090272C"/>
    <w:rsid w:val="009029D7"/>
    <w:rsid w:val="00910CA0"/>
    <w:rsid w:val="00911AD2"/>
    <w:rsid w:val="00913FF3"/>
    <w:rsid w:val="009169D3"/>
    <w:rsid w:val="00917A8A"/>
    <w:rsid w:val="00917FC5"/>
    <w:rsid w:val="009200E8"/>
    <w:rsid w:val="009201FC"/>
    <w:rsid w:val="0092048B"/>
    <w:rsid w:val="009229E7"/>
    <w:rsid w:val="00922A76"/>
    <w:rsid w:val="00922CA7"/>
    <w:rsid w:val="0092336E"/>
    <w:rsid w:val="0092719A"/>
    <w:rsid w:val="009322C6"/>
    <w:rsid w:val="00932460"/>
    <w:rsid w:val="00935391"/>
    <w:rsid w:val="009374EA"/>
    <w:rsid w:val="00944DBB"/>
    <w:rsid w:val="0094688D"/>
    <w:rsid w:val="00947E24"/>
    <w:rsid w:val="00957604"/>
    <w:rsid w:val="0096134F"/>
    <w:rsid w:val="00965390"/>
    <w:rsid w:val="00966AED"/>
    <w:rsid w:val="00972979"/>
    <w:rsid w:val="00977557"/>
    <w:rsid w:val="00977BCE"/>
    <w:rsid w:val="009811A9"/>
    <w:rsid w:val="0098437C"/>
    <w:rsid w:val="009873BF"/>
    <w:rsid w:val="00987E42"/>
    <w:rsid w:val="009902BB"/>
    <w:rsid w:val="009A23BA"/>
    <w:rsid w:val="009A353C"/>
    <w:rsid w:val="009A57F8"/>
    <w:rsid w:val="009B0070"/>
    <w:rsid w:val="009B0178"/>
    <w:rsid w:val="009B0E70"/>
    <w:rsid w:val="009C17E3"/>
    <w:rsid w:val="009C4A1E"/>
    <w:rsid w:val="009C6AF1"/>
    <w:rsid w:val="009C7D66"/>
    <w:rsid w:val="009D0372"/>
    <w:rsid w:val="009D6FCE"/>
    <w:rsid w:val="009E216D"/>
    <w:rsid w:val="009E73A9"/>
    <w:rsid w:val="009E7766"/>
    <w:rsid w:val="009F0B2B"/>
    <w:rsid w:val="009F3611"/>
    <w:rsid w:val="009F57C1"/>
    <w:rsid w:val="009F59D7"/>
    <w:rsid w:val="009F7C3C"/>
    <w:rsid w:val="00A07118"/>
    <w:rsid w:val="00A1466D"/>
    <w:rsid w:val="00A21449"/>
    <w:rsid w:val="00A2204F"/>
    <w:rsid w:val="00A23F36"/>
    <w:rsid w:val="00A25455"/>
    <w:rsid w:val="00A429E4"/>
    <w:rsid w:val="00A42B86"/>
    <w:rsid w:val="00A4771F"/>
    <w:rsid w:val="00A478C3"/>
    <w:rsid w:val="00A524F8"/>
    <w:rsid w:val="00A53861"/>
    <w:rsid w:val="00A5515F"/>
    <w:rsid w:val="00A61760"/>
    <w:rsid w:val="00A62394"/>
    <w:rsid w:val="00A632E0"/>
    <w:rsid w:val="00A65D08"/>
    <w:rsid w:val="00A67EF3"/>
    <w:rsid w:val="00A729F8"/>
    <w:rsid w:val="00A76AA8"/>
    <w:rsid w:val="00A83143"/>
    <w:rsid w:val="00A83580"/>
    <w:rsid w:val="00A86F8A"/>
    <w:rsid w:val="00A90983"/>
    <w:rsid w:val="00A92CBE"/>
    <w:rsid w:val="00A93AEE"/>
    <w:rsid w:val="00AA0BCD"/>
    <w:rsid w:val="00AA39B7"/>
    <w:rsid w:val="00AA401A"/>
    <w:rsid w:val="00AA6E66"/>
    <w:rsid w:val="00AB09F0"/>
    <w:rsid w:val="00AB2CF9"/>
    <w:rsid w:val="00AB3FDB"/>
    <w:rsid w:val="00AB63F2"/>
    <w:rsid w:val="00AB7161"/>
    <w:rsid w:val="00AC1476"/>
    <w:rsid w:val="00AC1ABD"/>
    <w:rsid w:val="00AC3867"/>
    <w:rsid w:val="00AC5635"/>
    <w:rsid w:val="00AC5C9B"/>
    <w:rsid w:val="00AC73C2"/>
    <w:rsid w:val="00AD0EBC"/>
    <w:rsid w:val="00AD2042"/>
    <w:rsid w:val="00AD43F7"/>
    <w:rsid w:val="00AD525F"/>
    <w:rsid w:val="00AE61BB"/>
    <w:rsid w:val="00AF1886"/>
    <w:rsid w:val="00AF397D"/>
    <w:rsid w:val="00AF595E"/>
    <w:rsid w:val="00AF66A0"/>
    <w:rsid w:val="00B055A0"/>
    <w:rsid w:val="00B07EDB"/>
    <w:rsid w:val="00B1368C"/>
    <w:rsid w:val="00B13F22"/>
    <w:rsid w:val="00B14E22"/>
    <w:rsid w:val="00B24A49"/>
    <w:rsid w:val="00B25B8F"/>
    <w:rsid w:val="00B27E89"/>
    <w:rsid w:val="00B30891"/>
    <w:rsid w:val="00B30D21"/>
    <w:rsid w:val="00B36927"/>
    <w:rsid w:val="00B43F0E"/>
    <w:rsid w:val="00B44132"/>
    <w:rsid w:val="00B46022"/>
    <w:rsid w:val="00B47519"/>
    <w:rsid w:val="00B52B14"/>
    <w:rsid w:val="00B53D1A"/>
    <w:rsid w:val="00B564B7"/>
    <w:rsid w:val="00B61BA2"/>
    <w:rsid w:val="00B623B8"/>
    <w:rsid w:val="00B634DB"/>
    <w:rsid w:val="00B648DF"/>
    <w:rsid w:val="00B64C96"/>
    <w:rsid w:val="00B70705"/>
    <w:rsid w:val="00B74365"/>
    <w:rsid w:val="00B74399"/>
    <w:rsid w:val="00B77611"/>
    <w:rsid w:val="00B77F6D"/>
    <w:rsid w:val="00B9021E"/>
    <w:rsid w:val="00B945EB"/>
    <w:rsid w:val="00B9623D"/>
    <w:rsid w:val="00BA4B84"/>
    <w:rsid w:val="00BA7948"/>
    <w:rsid w:val="00BB0629"/>
    <w:rsid w:val="00BB0F67"/>
    <w:rsid w:val="00BB54F4"/>
    <w:rsid w:val="00BB77C3"/>
    <w:rsid w:val="00BC18FF"/>
    <w:rsid w:val="00BC41F6"/>
    <w:rsid w:val="00BC55FD"/>
    <w:rsid w:val="00BC7EB1"/>
    <w:rsid w:val="00BD7EAD"/>
    <w:rsid w:val="00BE0275"/>
    <w:rsid w:val="00BE1D4A"/>
    <w:rsid w:val="00BE2586"/>
    <w:rsid w:val="00BE2A51"/>
    <w:rsid w:val="00BE3B54"/>
    <w:rsid w:val="00BF26FA"/>
    <w:rsid w:val="00BF36D6"/>
    <w:rsid w:val="00BF625E"/>
    <w:rsid w:val="00BF6FB1"/>
    <w:rsid w:val="00C1250D"/>
    <w:rsid w:val="00C13A48"/>
    <w:rsid w:val="00C17EBF"/>
    <w:rsid w:val="00C23D13"/>
    <w:rsid w:val="00C25B53"/>
    <w:rsid w:val="00C25B55"/>
    <w:rsid w:val="00C323FF"/>
    <w:rsid w:val="00C33E24"/>
    <w:rsid w:val="00C33F6C"/>
    <w:rsid w:val="00C378B3"/>
    <w:rsid w:val="00C42DAD"/>
    <w:rsid w:val="00C43675"/>
    <w:rsid w:val="00C468DE"/>
    <w:rsid w:val="00C500A5"/>
    <w:rsid w:val="00C56F23"/>
    <w:rsid w:val="00C831AF"/>
    <w:rsid w:val="00C85B42"/>
    <w:rsid w:val="00C90716"/>
    <w:rsid w:val="00CA2BEB"/>
    <w:rsid w:val="00CA44F2"/>
    <w:rsid w:val="00CA5201"/>
    <w:rsid w:val="00CA66FC"/>
    <w:rsid w:val="00CB002B"/>
    <w:rsid w:val="00CB0591"/>
    <w:rsid w:val="00CB074D"/>
    <w:rsid w:val="00CB5A7D"/>
    <w:rsid w:val="00CC05FE"/>
    <w:rsid w:val="00CC3412"/>
    <w:rsid w:val="00CC497B"/>
    <w:rsid w:val="00CC5095"/>
    <w:rsid w:val="00CD0370"/>
    <w:rsid w:val="00CD57D9"/>
    <w:rsid w:val="00CE48B7"/>
    <w:rsid w:val="00CF4BC8"/>
    <w:rsid w:val="00D00EFE"/>
    <w:rsid w:val="00D03E6D"/>
    <w:rsid w:val="00D0407E"/>
    <w:rsid w:val="00D064D3"/>
    <w:rsid w:val="00D1068A"/>
    <w:rsid w:val="00D16D33"/>
    <w:rsid w:val="00D2005F"/>
    <w:rsid w:val="00D20E79"/>
    <w:rsid w:val="00D24AC2"/>
    <w:rsid w:val="00D30F23"/>
    <w:rsid w:val="00D319B3"/>
    <w:rsid w:val="00D33DDC"/>
    <w:rsid w:val="00D344B7"/>
    <w:rsid w:val="00D45D64"/>
    <w:rsid w:val="00D46B00"/>
    <w:rsid w:val="00D47222"/>
    <w:rsid w:val="00D503E6"/>
    <w:rsid w:val="00D5182A"/>
    <w:rsid w:val="00D51C82"/>
    <w:rsid w:val="00D52742"/>
    <w:rsid w:val="00D529B1"/>
    <w:rsid w:val="00D5773D"/>
    <w:rsid w:val="00D724B8"/>
    <w:rsid w:val="00D77205"/>
    <w:rsid w:val="00D805E9"/>
    <w:rsid w:val="00D86B11"/>
    <w:rsid w:val="00D87043"/>
    <w:rsid w:val="00D90FE2"/>
    <w:rsid w:val="00D93101"/>
    <w:rsid w:val="00D93150"/>
    <w:rsid w:val="00DA02E3"/>
    <w:rsid w:val="00DA07E6"/>
    <w:rsid w:val="00DA094D"/>
    <w:rsid w:val="00DA1665"/>
    <w:rsid w:val="00DA1B07"/>
    <w:rsid w:val="00DA29CA"/>
    <w:rsid w:val="00DB6502"/>
    <w:rsid w:val="00DC4A19"/>
    <w:rsid w:val="00DD2AFC"/>
    <w:rsid w:val="00DD5F7B"/>
    <w:rsid w:val="00DD67FC"/>
    <w:rsid w:val="00DD712E"/>
    <w:rsid w:val="00DE0F49"/>
    <w:rsid w:val="00DE575A"/>
    <w:rsid w:val="00DF5827"/>
    <w:rsid w:val="00E03CC8"/>
    <w:rsid w:val="00E05121"/>
    <w:rsid w:val="00E10D77"/>
    <w:rsid w:val="00E11502"/>
    <w:rsid w:val="00E12779"/>
    <w:rsid w:val="00E12946"/>
    <w:rsid w:val="00E13510"/>
    <w:rsid w:val="00E13962"/>
    <w:rsid w:val="00E141BA"/>
    <w:rsid w:val="00E175A6"/>
    <w:rsid w:val="00E23B5E"/>
    <w:rsid w:val="00E24817"/>
    <w:rsid w:val="00E250FC"/>
    <w:rsid w:val="00E33A24"/>
    <w:rsid w:val="00E33FFA"/>
    <w:rsid w:val="00E355B5"/>
    <w:rsid w:val="00E35996"/>
    <w:rsid w:val="00E36CAB"/>
    <w:rsid w:val="00E40E6A"/>
    <w:rsid w:val="00E430EC"/>
    <w:rsid w:val="00E43A7E"/>
    <w:rsid w:val="00E47460"/>
    <w:rsid w:val="00E47B50"/>
    <w:rsid w:val="00E52B80"/>
    <w:rsid w:val="00E54804"/>
    <w:rsid w:val="00E56130"/>
    <w:rsid w:val="00E61291"/>
    <w:rsid w:val="00E67A67"/>
    <w:rsid w:val="00E771B9"/>
    <w:rsid w:val="00E83324"/>
    <w:rsid w:val="00E84D6A"/>
    <w:rsid w:val="00E86D00"/>
    <w:rsid w:val="00E873BE"/>
    <w:rsid w:val="00E917FE"/>
    <w:rsid w:val="00E93992"/>
    <w:rsid w:val="00E95EC4"/>
    <w:rsid w:val="00EA6D9D"/>
    <w:rsid w:val="00EA6E5B"/>
    <w:rsid w:val="00EA6E63"/>
    <w:rsid w:val="00EA75FC"/>
    <w:rsid w:val="00EB1FB5"/>
    <w:rsid w:val="00EB7D9E"/>
    <w:rsid w:val="00ED0F1D"/>
    <w:rsid w:val="00ED4E2C"/>
    <w:rsid w:val="00ED7323"/>
    <w:rsid w:val="00ED75AB"/>
    <w:rsid w:val="00ED7EE5"/>
    <w:rsid w:val="00EE0DAB"/>
    <w:rsid w:val="00EE2974"/>
    <w:rsid w:val="00EF3B44"/>
    <w:rsid w:val="00EF63A5"/>
    <w:rsid w:val="00F01877"/>
    <w:rsid w:val="00F044EB"/>
    <w:rsid w:val="00F05E98"/>
    <w:rsid w:val="00F07C69"/>
    <w:rsid w:val="00F1758C"/>
    <w:rsid w:val="00F216A3"/>
    <w:rsid w:val="00F2221F"/>
    <w:rsid w:val="00F22CF4"/>
    <w:rsid w:val="00F230AF"/>
    <w:rsid w:val="00F24E22"/>
    <w:rsid w:val="00F26069"/>
    <w:rsid w:val="00F26DDD"/>
    <w:rsid w:val="00F322CB"/>
    <w:rsid w:val="00F37786"/>
    <w:rsid w:val="00F37F3F"/>
    <w:rsid w:val="00F43BD1"/>
    <w:rsid w:val="00F441AC"/>
    <w:rsid w:val="00F44A49"/>
    <w:rsid w:val="00F466DB"/>
    <w:rsid w:val="00F4679D"/>
    <w:rsid w:val="00F470C8"/>
    <w:rsid w:val="00F510C3"/>
    <w:rsid w:val="00F52A09"/>
    <w:rsid w:val="00F53D8A"/>
    <w:rsid w:val="00F57A14"/>
    <w:rsid w:val="00F64094"/>
    <w:rsid w:val="00F658CC"/>
    <w:rsid w:val="00F67925"/>
    <w:rsid w:val="00F7728F"/>
    <w:rsid w:val="00F8590B"/>
    <w:rsid w:val="00F927DA"/>
    <w:rsid w:val="00F9599E"/>
    <w:rsid w:val="00F96F07"/>
    <w:rsid w:val="00FA01A0"/>
    <w:rsid w:val="00FA2991"/>
    <w:rsid w:val="00FB4A12"/>
    <w:rsid w:val="00FB6AB7"/>
    <w:rsid w:val="00FC00EA"/>
    <w:rsid w:val="00FC021D"/>
    <w:rsid w:val="00FC23BE"/>
    <w:rsid w:val="00FC246E"/>
    <w:rsid w:val="00FC328C"/>
    <w:rsid w:val="00FC3553"/>
    <w:rsid w:val="00FC3E1B"/>
    <w:rsid w:val="00FC3F88"/>
    <w:rsid w:val="00FC4F24"/>
    <w:rsid w:val="00FC50A1"/>
    <w:rsid w:val="00FC63ED"/>
    <w:rsid w:val="00FC6FB6"/>
    <w:rsid w:val="00FD0A64"/>
    <w:rsid w:val="00FD1C5A"/>
    <w:rsid w:val="00FD315E"/>
    <w:rsid w:val="00FD49B9"/>
    <w:rsid w:val="00FD6F7F"/>
    <w:rsid w:val="00FE2F60"/>
    <w:rsid w:val="00FF3B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DA2BD"/>
  <w15:chartTrackingRefBased/>
  <w15:docId w15:val="{0920CB9F-C4DF-451C-91BD-169A8C02D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11FA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1FA8"/>
    <w:rPr>
      <w:rFonts w:ascii="Segoe UI" w:hAnsi="Segoe UI" w:cs="Segoe UI"/>
      <w:sz w:val="18"/>
      <w:szCs w:val="18"/>
    </w:rPr>
  </w:style>
  <w:style w:type="paragraph" w:styleId="Akapitzlist">
    <w:name w:val="List Paragraph"/>
    <w:basedOn w:val="Normalny"/>
    <w:link w:val="AkapitzlistZnak"/>
    <w:uiPriority w:val="34"/>
    <w:qFormat/>
    <w:rsid w:val="0058675B"/>
    <w:pPr>
      <w:ind w:left="720"/>
      <w:contextualSpacing/>
    </w:pPr>
  </w:style>
  <w:style w:type="character" w:customStyle="1" w:styleId="AkapitzlistZnak">
    <w:name w:val="Akapit z listą Znak"/>
    <w:link w:val="Akapitzlist"/>
    <w:uiPriority w:val="34"/>
    <w:rsid w:val="00BB54F4"/>
  </w:style>
  <w:style w:type="character" w:styleId="Odwoaniedokomentarza">
    <w:name w:val="annotation reference"/>
    <w:basedOn w:val="Domylnaczcionkaakapitu"/>
    <w:uiPriority w:val="99"/>
    <w:semiHidden/>
    <w:unhideWhenUsed/>
    <w:rsid w:val="00BB54F4"/>
    <w:rPr>
      <w:sz w:val="16"/>
      <w:szCs w:val="16"/>
    </w:rPr>
  </w:style>
  <w:style w:type="paragraph" w:styleId="Tekstkomentarza">
    <w:name w:val="annotation text"/>
    <w:basedOn w:val="Normalny"/>
    <w:link w:val="TekstkomentarzaZnak"/>
    <w:uiPriority w:val="99"/>
    <w:unhideWhenUsed/>
    <w:rsid w:val="00BB54F4"/>
    <w:pPr>
      <w:spacing w:line="240" w:lineRule="auto"/>
    </w:pPr>
    <w:rPr>
      <w:sz w:val="20"/>
      <w:szCs w:val="20"/>
    </w:rPr>
  </w:style>
  <w:style w:type="character" w:customStyle="1" w:styleId="TekstkomentarzaZnak">
    <w:name w:val="Tekst komentarza Znak"/>
    <w:basedOn w:val="Domylnaczcionkaakapitu"/>
    <w:link w:val="Tekstkomentarza"/>
    <w:uiPriority w:val="99"/>
    <w:rsid w:val="00BB54F4"/>
    <w:rPr>
      <w:sz w:val="20"/>
      <w:szCs w:val="20"/>
    </w:rPr>
  </w:style>
  <w:style w:type="paragraph" w:styleId="Tematkomentarza">
    <w:name w:val="annotation subject"/>
    <w:basedOn w:val="Tekstkomentarza"/>
    <w:next w:val="Tekstkomentarza"/>
    <w:link w:val="TematkomentarzaZnak"/>
    <w:uiPriority w:val="99"/>
    <w:semiHidden/>
    <w:unhideWhenUsed/>
    <w:rsid w:val="00BB54F4"/>
    <w:rPr>
      <w:b/>
      <w:bCs/>
    </w:rPr>
  </w:style>
  <w:style w:type="character" w:customStyle="1" w:styleId="TematkomentarzaZnak">
    <w:name w:val="Temat komentarza Znak"/>
    <w:basedOn w:val="TekstkomentarzaZnak"/>
    <w:link w:val="Tematkomentarza"/>
    <w:uiPriority w:val="99"/>
    <w:semiHidden/>
    <w:rsid w:val="00BB54F4"/>
    <w:rPr>
      <w:b/>
      <w:bCs/>
      <w:sz w:val="20"/>
      <w:szCs w:val="20"/>
    </w:rPr>
  </w:style>
  <w:style w:type="paragraph" w:customStyle="1" w:styleId="ARTartustawynprozporzdzenia">
    <w:name w:val="ART(§) – art. ustawy (§ np. rozporządzenia)"/>
    <w:uiPriority w:val="99"/>
    <w:qFormat/>
    <w:rsid w:val="00FD49B9"/>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NIEARTTEKSTtekstnieartykuowanynppodstprawnarozplubpreambua">
    <w:name w:val="NIEART_TEKST – tekst nieartykułowany (np. podst. prawna rozp. lub preambuła)"/>
    <w:basedOn w:val="Normalny"/>
    <w:next w:val="Normalny"/>
    <w:uiPriority w:val="7"/>
    <w:qFormat/>
    <w:rsid w:val="00DA094D"/>
    <w:pPr>
      <w:suppressAutoHyphens/>
      <w:autoSpaceDE w:val="0"/>
      <w:autoSpaceDN w:val="0"/>
      <w:adjustRightInd w:val="0"/>
      <w:spacing w:before="120" w:after="0" w:line="360" w:lineRule="auto"/>
      <w:ind w:firstLine="510"/>
      <w:jc w:val="both"/>
    </w:pPr>
    <w:rPr>
      <w:rFonts w:ascii="Times" w:eastAsiaTheme="minorEastAsia" w:hAnsi="Times" w:cs="Arial"/>
      <w:bCs/>
      <w:sz w:val="24"/>
      <w:szCs w:val="20"/>
      <w:lang w:eastAsia="pl-PL"/>
    </w:rPr>
  </w:style>
  <w:style w:type="paragraph" w:customStyle="1" w:styleId="ZUSTzmustartykuempunktem">
    <w:name w:val="Z/UST(§) – zm. ust. (§) artykułem (punktem)"/>
    <w:basedOn w:val="Normalny"/>
    <w:uiPriority w:val="30"/>
    <w:qFormat/>
    <w:rsid w:val="00F44A49"/>
    <w:pPr>
      <w:suppressAutoHyphens/>
      <w:autoSpaceDE w:val="0"/>
      <w:autoSpaceDN w:val="0"/>
      <w:adjustRightInd w:val="0"/>
      <w:spacing w:after="0" w:line="360" w:lineRule="auto"/>
      <w:ind w:left="510" w:firstLine="510"/>
      <w:jc w:val="both"/>
    </w:pPr>
    <w:rPr>
      <w:rFonts w:ascii="Times" w:eastAsiaTheme="minorEastAsia" w:hAnsi="Times" w:cs="Arial"/>
      <w:sz w:val="24"/>
      <w:szCs w:val="20"/>
      <w:lang w:eastAsia="pl-PL"/>
    </w:rPr>
  </w:style>
  <w:style w:type="paragraph" w:styleId="Bezodstpw">
    <w:name w:val="No Spacing"/>
    <w:uiPriority w:val="1"/>
    <w:qFormat/>
    <w:rsid w:val="00C378B3"/>
    <w:pPr>
      <w:widowControl w:val="0"/>
      <w:autoSpaceDE w:val="0"/>
      <w:autoSpaceDN w:val="0"/>
      <w:adjustRightInd w:val="0"/>
      <w:spacing w:after="0" w:line="240" w:lineRule="auto"/>
    </w:pPr>
    <w:rPr>
      <w:rFonts w:ascii="Arial" w:eastAsia="Times New Roman" w:hAnsi="Arial" w:cs="Arial"/>
      <w:sz w:val="20"/>
      <w:szCs w:val="20"/>
      <w:lang w:eastAsia="pl-PL"/>
    </w:rPr>
  </w:style>
  <w:style w:type="paragraph" w:customStyle="1" w:styleId="ZPKTzmpktartykuempunktem">
    <w:name w:val="Z/PKT – zm. pkt artykułem (punktem)"/>
    <w:basedOn w:val="Normalny"/>
    <w:uiPriority w:val="31"/>
    <w:qFormat/>
    <w:rsid w:val="000C44EF"/>
    <w:pPr>
      <w:spacing w:after="0" w:line="360" w:lineRule="auto"/>
      <w:ind w:left="1020" w:hanging="510"/>
      <w:jc w:val="both"/>
    </w:pPr>
    <w:rPr>
      <w:rFonts w:ascii="Times" w:eastAsiaTheme="minorEastAsia" w:hAnsi="Times" w:cs="Arial"/>
      <w:bCs/>
      <w:sz w:val="24"/>
      <w:szCs w:val="20"/>
      <w:lang w:eastAsia="pl-PL"/>
    </w:rPr>
  </w:style>
  <w:style w:type="paragraph" w:customStyle="1" w:styleId="ZARTzmartartykuempunktem">
    <w:name w:val="Z/ART(§) – zm. art. (§) artykułem (punktem)"/>
    <w:basedOn w:val="ARTartustawynprozporzdzenia"/>
    <w:uiPriority w:val="30"/>
    <w:qFormat/>
    <w:rsid w:val="000C44EF"/>
    <w:pPr>
      <w:spacing w:before="0"/>
      <w:ind w:left="510"/>
    </w:pPr>
  </w:style>
  <w:style w:type="character" w:customStyle="1" w:styleId="Ppogrubienie">
    <w:name w:val="_P_ – pogrubienie"/>
    <w:basedOn w:val="Domylnaczcionkaakapitu"/>
    <w:uiPriority w:val="99"/>
    <w:qFormat/>
    <w:rsid w:val="00877AA9"/>
    <w:rPr>
      <w:b/>
    </w:rPr>
  </w:style>
  <w:style w:type="paragraph" w:customStyle="1" w:styleId="ZLITUSTzmustliter">
    <w:name w:val="Z_LIT/UST(§) – zm. ust. (§) literą"/>
    <w:basedOn w:val="Normalny"/>
    <w:uiPriority w:val="46"/>
    <w:qFormat/>
    <w:rsid w:val="00877AA9"/>
    <w:pPr>
      <w:suppressAutoHyphens/>
      <w:autoSpaceDE w:val="0"/>
      <w:autoSpaceDN w:val="0"/>
      <w:adjustRightInd w:val="0"/>
      <w:spacing w:after="0" w:line="360" w:lineRule="auto"/>
      <w:ind w:left="987" w:firstLine="510"/>
      <w:jc w:val="both"/>
    </w:pPr>
    <w:rPr>
      <w:rFonts w:ascii="Times" w:eastAsiaTheme="minorEastAsia" w:hAnsi="Times" w:cs="Arial"/>
      <w:bCs/>
      <w:sz w:val="24"/>
      <w:szCs w:val="20"/>
      <w:lang w:eastAsia="pl-PL"/>
    </w:rPr>
  </w:style>
  <w:style w:type="paragraph" w:styleId="Tekstprzypisukocowego">
    <w:name w:val="endnote text"/>
    <w:basedOn w:val="Normalny"/>
    <w:link w:val="TekstprzypisukocowegoZnak"/>
    <w:uiPriority w:val="99"/>
    <w:semiHidden/>
    <w:unhideWhenUsed/>
    <w:rsid w:val="0063113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3113F"/>
    <w:rPr>
      <w:sz w:val="20"/>
      <w:szCs w:val="20"/>
    </w:rPr>
  </w:style>
  <w:style w:type="character" w:styleId="Odwoanieprzypisukocowego">
    <w:name w:val="endnote reference"/>
    <w:basedOn w:val="Domylnaczcionkaakapitu"/>
    <w:uiPriority w:val="99"/>
    <w:semiHidden/>
    <w:unhideWhenUsed/>
    <w:rsid w:val="0063113F"/>
    <w:rPr>
      <w:vertAlign w:val="superscript"/>
    </w:rPr>
  </w:style>
  <w:style w:type="paragraph" w:customStyle="1" w:styleId="PKTpunkt">
    <w:name w:val="PKT – punkt"/>
    <w:uiPriority w:val="13"/>
    <w:qFormat/>
    <w:rsid w:val="00A524F8"/>
    <w:pPr>
      <w:spacing w:after="0" w:line="360" w:lineRule="auto"/>
      <w:ind w:left="510" w:hanging="510"/>
      <w:jc w:val="both"/>
    </w:pPr>
    <w:rPr>
      <w:rFonts w:ascii="Times" w:eastAsiaTheme="minorEastAsia" w:hAnsi="Times" w:cs="Arial"/>
      <w:bCs/>
      <w:sz w:val="24"/>
      <w:szCs w:val="20"/>
      <w:lang w:eastAsia="pl-PL"/>
    </w:rPr>
  </w:style>
  <w:style w:type="paragraph" w:customStyle="1" w:styleId="LITlitera">
    <w:name w:val="LIT – litera"/>
    <w:basedOn w:val="PKTpunkt"/>
    <w:uiPriority w:val="14"/>
    <w:qFormat/>
    <w:rsid w:val="00A524F8"/>
    <w:pPr>
      <w:ind w:left="986" w:hanging="476"/>
    </w:pPr>
  </w:style>
  <w:style w:type="paragraph" w:styleId="Poprawka">
    <w:name w:val="Revision"/>
    <w:hidden/>
    <w:uiPriority w:val="99"/>
    <w:semiHidden/>
    <w:rsid w:val="003C223D"/>
    <w:pPr>
      <w:spacing w:after="0" w:line="240" w:lineRule="auto"/>
    </w:pPr>
  </w:style>
  <w:style w:type="character" w:styleId="Hipercze">
    <w:name w:val="Hyperlink"/>
    <w:basedOn w:val="Domylnaczcionkaakapitu"/>
    <w:uiPriority w:val="99"/>
    <w:unhideWhenUsed/>
    <w:rsid w:val="00CC5095"/>
    <w:rPr>
      <w:color w:val="0563C1" w:themeColor="hyperlink"/>
      <w:u w:val="single"/>
    </w:rPr>
  </w:style>
  <w:style w:type="character" w:customStyle="1" w:styleId="Nierozpoznanawzmianka1">
    <w:name w:val="Nierozpoznana wzmianka1"/>
    <w:basedOn w:val="Domylnaczcionkaakapitu"/>
    <w:uiPriority w:val="99"/>
    <w:semiHidden/>
    <w:unhideWhenUsed/>
    <w:rsid w:val="00CC5095"/>
    <w:rPr>
      <w:color w:val="605E5C"/>
      <w:shd w:val="clear" w:color="auto" w:fill="E1DFDD"/>
    </w:rPr>
  </w:style>
  <w:style w:type="character" w:styleId="Pogrubienie">
    <w:name w:val="Strong"/>
    <w:basedOn w:val="Domylnaczcionkaakapitu"/>
    <w:uiPriority w:val="22"/>
    <w:qFormat/>
    <w:rsid w:val="00556ACB"/>
    <w:rPr>
      <w:b/>
      <w:bCs/>
    </w:rPr>
  </w:style>
  <w:style w:type="paragraph" w:styleId="NormalnyWeb">
    <w:name w:val="Normal (Web)"/>
    <w:basedOn w:val="Normalny"/>
    <w:uiPriority w:val="99"/>
    <w:unhideWhenUsed/>
    <w:rsid w:val="00944DB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407BCF"/>
  </w:style>
  <w:style w:type="paragraph" w:customStyle="1" w:styleId="TIRtiret">
    <w:name w:val="TIR – tiret"/>
    <w:basedOn w:val="Normalny"/>
    <w:uiPriority w:val="15"/>
    <w:qFormat/>
    <w:rsid w:val="00E250FC"/>
    <w:pPr>
      <w:spacing w:after="0" w:line="360" w:lineRule="auto"/>
      <w:ind w:left="1384" w:hanging="397"/>
      <w:jc w:val="both"/>
    </w:pPr>
    <w:rPr>
      <w:rFonts w:ascii="Times" w:eastAsiaTheme="minorEastAsia" w:hAnsi="Times" w:cs="Arial"/>
      <w:bCs/>
      <w:sz w:val="24"/>
      <w:szCs w:val="20"/>
      <w:lang w:eastAsia="pl-PL"/>
    </w:rPr>
  </w:style>
  <w:style w:type="paragraph" w:customStyle="1" w:styleId="USTustnpkodeksu">
    <w:name w:val="UST(§) – ust. (§ np. kodeksu)"/>
    <w:basedOn w:val="ARTartustawynprozporzdzenia"/>
    <w:uiPriority w:val="12"/>
    <w:qFormat/>
    <w:rsid w:val="006B4A46"/>
    <w:pPr>
      <w:spacing w:before="0"/>
    </w:pPr>
    <w:rPr>
      <w:bCs/>
    </w:rPr>
  </w:style>
  <w:style w:type="paragraph" w:customStyle="1" w:styleId="pf0">
    <w:name w:val="pf0"/>
    <w:basedOn w:val="Normalny"/>
    <w:rsid w:val="003A68C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3A68CF"/>
    <w:rPr>
      <w:rFonts w:ascii="Segoe UI" w:hAnsi="Segoe UI" w:cs="Segoe UI" w:hint="default"/>
      <w:sz w:val="18"/>
      <w:szCs w:val="18"/>
    </w:rPr>
  </w:style>
  <w:style w:type="paragraph" w:styleId="Nagwek">
    <w:name w:val="header"/>
    <w:basedOn w:val="Normalny"/>
    <w:link w:val="NagwekZnak"/>
    <w:uiPriority w:val="99"/>
    <w:unhideWhenUsed/>
    <w:rsid w:val="009201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01FC"/>
  </w:style>
  <w:style w:type="paragraph" w:styleId="Stopka">
    <w:name w:val="footer"/>
    <w:basedOn w:val="Normalny"/>
    <w:link w:val="StopkaZnak"/>
    <w:uiPriority w:val="99"/>
    <w:unhideWhenUsed/>
    <w:rsid w:val="009201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0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450197">
      <w:bodyDiv w:val="1"/>
      <w:marLeft w:val="0"/>
      <w:marRight w:val="0"/>
      <w:marTop w:val="0"/>
      <w:marBottom w:val="0"/>
      <w:divBdr>
        <w:top w:val="none" w:sz="0" w:space="0" w:color="auto"/>
        <w:left w:val="none" w:sz="0" w:space="0" w:color="auto"/>
        <w:bottom w:val="none" w:sz="0" w:space="0" w:color="auto"/>
        <w:right w:val="none" w:sz="0" w:space="0" w:color="auto"/>
      </w:divBdr>
    </w:div>
    <w:div w:id="846136669">
      <w:bodyDiv w:val="1"/>
      <w:marLeft w:val="0"/>
      <w:marRight w:val="0"/>
      <w:marTop w:val="0"/>
      <w:marBottom w:val="0"/>
      <w:divBdr>
        <w:top w:val="none" w:sz="0" w:space="0" w:color="auto"/>
        <w:left w:val="none" w:sz="0" w:space="0" w:color="auto"/>
        <w:bottom w:val="none" w:sz="0" w:space="0" w:color="auto"/>
        <w:right w:val="none" w:sz="0" w:space="0" w:color="auto"/>
      </w:divBdr>
    </w:div>
    <w:div w:id="1045834913">
      <w:bodyDiv w:val="1"/>
      <w:marLeft w:val="0"/>
      <w:marRight w:val="0"/>
      <w:marTop w:val="0"/>
      <w:marBottom w:val="0"/>
      <w:divBdr>
        <w:top w:val="none" w:sz="0" w:space="0" w:color="auto"/>
        <w:left w:val="none" w:sz="0" w:space="0" w:color="auto"/>
        <w:bottom w:val="none" w:sz="0" w:space="0" w:color="auto"/>
        <w:right w:val="none" w:sz="0" w:space="0" w:color="auto"/>
      </w:divBdr>
    </w:div>
    <w:div w:id="1451625999">
      <w:bodyDiv w:val="1"/>
      <w:marLeft w:val="0"/>
      <w:marRight w:val="0"/>
      <w:marTop w:val="0"/>
      <w:marBottom w:val="0"/>
      <w:divBdr>
        <w:top w:val="none" w:sz="0" w:space="0" w:color="auto"/>
        <w:left w:val="none" w:sz="0" w:space="0" w:color="auto"/>
        <w:bottom w:val="none" w:sz="0" w:space="0" w:color="auto"/>
        <w:right w:val="none" w:sz="0" w:space="0" w:color="auto"/>
      </w:divBdr>
      <w:divsChild>
        <w:div w:id="1645892311">
          <w:marLeft w:val="0"/>
          <w:marRight w:val="0"/>
          <w:marTop w:val="0"/>
          <w:marBottom w:val="0"/>
          <w:divBdr>
            <w:top w:val="none" w:sz="0" w:space="0" w:color="auto"/>
            <w:left w:val="none" w:sz="0" w:space="0" w:color="auto"/>
            <w:bottom w:val="none" w:sz="0" w:space="0" w:color="auto"/>
            <w:right w:val="none" w:sz="0" w:space="0" w:color="auto"/>
          </w:divBdr>
        </w:div>
        <w:div w:id="755713495">
          <w:marLeft w:val="0"/>
          <w:marRight w:val="0"/>
          <w:marTop w:val="0"/>
          <w:marBottom w:val="0"/>
          <w:divBdr>
            <w:top w:val="none" w:sz="0" w:space="0" w:color="auto"/>
            <w:left w:val="none" w:sz="0" w:space="0" w:color="auto"/>
            <w:bottom w:val="none" w:sz="0" w:space="0" w:color="auto"/>
            <w:right w:val="none" w:sz="0" w:space="0" w:color="auto"/>
          </w:divBdr>
        </w:div>
      </w:divsChild>
    </w:div>
    <w:div w:id="1558668769">
      <w:bodyDiv w:val="1"/>
      <w:marLeft w:val="0"/>
      <w:marRight w:val="0"/>
      <w:marTop w:val="0"/>
      <w:marBottom w:val="0"/>
      <w:divBdr>
        <w:top w:val="none" w:sz="0" w:space="0" w:color="auto"/>
        <w:left w:val="none" w:sz="0" w:space="0" w:color="auto"/>
        <w:bottom w:val="none" w:sz="0" w:space="0" w:color="auto"/>
        <w:right w:val="none" w:sz="0" w:space="0" w:color="auto"/>
      </w:divBdr>
    </w:div>
    <w:div w:id="1582175790">
      <w:bodyDiv w:val="1"/>
      <w:marLeft w:val="0"/>
      <w:marRight w:val="0"/>
      <w:marTop w:val="0"/>
      <w:marBottom w:val="0"/>
      <w:divBdr>
        <w:top w:val="none" w:sz="0" w:space="0" w:color="auto"/>
        <w:left w:val="none" w:sz="0" w:space="0" w:color="auto"/>
        <w:bottom w:val="none" w:sz="0" w:space="0" w:color="auto"/>
        <w:right w:val="none" w:sz="0" w:space="0" w:color="auto"/>
      </w:divBdr>
    </w:div>
    <w:div w:id="1783652065">
      <w:bodyDiv w:val="1"/>
      <w:marLeft w:val="0"/>
      <w:marRight w:val="0"/>
      <w:marTop w:val="0"/>
      <w:marBottom w:val="0"/>
      <w:divBdr>
        <w:top w:val="none" w:sz="0" w:space="0" w:color="auto"/>
        <w:left w:val="none" w:sz="0" w:space="0" w:color="auto"/>
        <w:bottom w:val="none" w:sz="0" w:space="0" w:color="auto"/>
        <w:right w:val="none" w:sz="0" w:space="0" w:color="auto"/>
      </w:divBdr>
    </w:div>
    <w:div w:id="202139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6496D-D86D-4C98-999B-0B69E1A82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5395</Words>
  <Characters>32375</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Grądzik Paulina</dc:creator>
  <cp:keywords/>
  <dc:description/>
  <cp:lastModifiedBy>IGWP IGWP</cp:lastModifiedBy>
  <cp:revision>2</cp:revision>
  <dcterms:created xsi:type="dcterms:W3CDTF">2022-10-17T11:33:00Z</dcterms:created>
  <dcterms:modified xsi:type="dcterms:W3CDTF">2022-10-17T11:33:00Z</dcterms:modified>
</cp:coreProperties>
</file>