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57A6" w14:textId="755B1BA1" w:rsidR="006A5772" w:rsidRDefault="006A5772" w:rsidP="001B2E39">
      <w:pPr>
        <w:jc w:val="both"/>
        <w:rPr>
          <w:rFonts w:cstheme="minorHAnsi"/>
          <w:b/>
          <w:bCs/>
        </w:rPr>
      </w:pPr>
      <w:r w:rsidRPr="006A5772">
        <w:rPr>
          <w:rFonts w:cstheme="minorHAnsi"/>
          <w:b/>
          <w:bCs/>
        </w:rPr>
        <w:t>Dyrektywa w sprawie oczyszczania ścieków komunalnych</w:t>
      </w:r>
    </w:p>
    <w:p w14:paraId="433FEAD2" w14:textId="77777777" w:rsidR="006A5772" w:rsidRPr="006A5772" w:rsidRDefault="006A5772" w:rsidP="001B2E39">
      <w:pPr>
        <w:jc w:val="both"/>
        <w:rPr>
          <w:rFonts w:cstheme="minorHAnsi"/>
          <w:b/>
          <w:bCs/>
        </w:rPr>
      </w:pPr>
    </w:p>
    <w:p w14:paraId="18E4D223" w14:textId="0FF7470C" w:rsidR="001F4C42" w:rsidRPr="006A5772" w:rsidRDefault="001F4C42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W październiku 2022 roku Komisja Europejska opublikowała propozycję zmienionej dyrektywy ściekowej. Jest to tekst bardzo istotnie modyfikujący obecne regulacje, oparty o gruntowną rewizj</w:t>
      </w:r>
      <w:r w:rsidR="00AA300E" w:rsidRPr="006A5772">
        <w:rPr>
          <w:rFonts w:cstheme="minorHAnsi"/>
        </w:rPr>
        <w:t>ę</w:t>
      </w:r>
      <w:r w:rsidRPr="006A5772">
        <w:rPr>
          <w:rFonts w:cstheme="minorHAnsi"/>
        </w:rPr>
        <w:t xml:space="preserve"> dyrektywy</w:t>
      </w:r>
      <w:r w:rsidR="00AA300E" w:rsidRPr="006A5772">
        <w:rPr>
          <w:rFonts w:cstheme="minorHAnsi"/>
        </w:rPr>
        <w:t xml:space="preserve"> z 1991 roku,</w:t>
      </w:r>
      <w:r w:rsidRPr="006A5772">
        <w:rPr>
          <w:rFonts w:cstheme="minorHAnsi"/>
        </w:rPr>
        <w:t xml:space="preserve"> wyniki konsultacji społecznych, dane na temat postępu naukowego i zmian cywilizacyjnych.</w:t>
      </w:r>
    </w:p>
    <w:p w14:paraId="43B94FA7" w14:textId="33FC1F84" w:rsidR="001F4C42" w:rsidRPr="006A5772" w:rsidRDefault="00AA300E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Rok 2023 będzie się z pewnością koncentrował na analizie zaproponowanych zapisów, propozycjach zmian, debacie Parlamentu Europejskiego i Rady.</w:t>
      </w:r>
    </w:p>
    <w:p w14:paraId="6A51EA39" w14:textId="664EF547" w:rsidR="00AA300E" w:rsidRPr="006A5772" w:rsidRDefault="00AA300E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Federacja </w:t>
      </w:r>
      <w:proofErr w:type="spellStart"/>
      <w:r w:rsidRPr="006A5772">
        <w:rPr>
          <w:rFonts w:cstheme="minorHAnsi"/>
        </w:rPr>
        <w:t>EurEau</w:t>
      </w:r>
      <w:proofErr w:type="spellEnd"/>
      <w:r w:rsidRPr="006A5772">
        <w:rPr>
          <w:rFonts w:cstheme="minorHAnsi"/>
        </w:rPr>
        <w:t xml:space="preserve"> od dłuższego czasu przygotowywała się do tej publikacji. Opracowaliśmy wiele stanowisk i </w:t>
      </w:r>
      <w:r w:rsidR="006A5772">
        <w:rPr>
          <w:rFonts w:cstheme="minorHAnsi"/>
        </w:rPr>
        <w:t>notatek</w:t>
      </w:r>
      <w:r w:rsidRPr="006A5772">
        <w:rPr>
          <w:rFonts w:cstheme="minorHAnsi"/>
        </w:rPr>
        <w:t xml:space="preserve"> mających przybliżyć decydentom nasze spojrzenie na problematykę ścieków komunalnych. </w:t>
      </w:r>
      <w:r w:rsidR="006A5772">
        <w:rPr>
          <w:rFonts w:cstheme="minorHAnsi"/>
        </w:rPr>
        <w:t>Opracowania s</w:t>
      </w:r>
      <w:r w:rsidRPr="006A5772">
        <w:rPr>
          <w:rFonts w:cstheme="minorHAnsi"/>
        </w:rPr>
        <w:t xml:space="preserve">ą dostępne na stronie </w:t>
      </w:r>
      <w:hyperlink r:id="rId7" w:history="1">
        <w:r w:rsidRPr="006A5772">
          <w:rPr>
            <w:rStyle w:val="Hipercze"/>
            <w:rFonts w:cstheme="minorHAnsi"/>
          </w:rPr>
          <w:t>www.eureau.org</w:t>
        </w:r>
      </w:hyperlink>
      <w:r w:rsidRPr="006A5772">
        <w:rPr>
          <w:rFonts w:cstheme="minorHAnsi"/>
        </w:rPr>
        <w:t xml:space="preserve">. </w:t>
      </w:r>
    </w:p>
    <w:p w14:paraId="1FEF46C9" w14:textId="397B5061" w:rsidR="00AA300E" w:rsidRPr="006A5772" w:rsidRDefault="00AA300E" w:rsidP="001B2E39">
      <w:pPr>
        <w:jc w:val="both"/>
        <w:rPr>
          <w:rFonts w:cstheme="minorHAnsi"/>
        </w:rPr>
      </w:pPr>
    </w:p>
    <w:p w14:paraId="0FD617BE" w14:textId="033165FE" w:rsidR="0067674C" w:rsidRPr="006A5772" w:rsidRDefault="00AA300E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Zaproponowana przez KE dyrektywa jest o kilka artykułów i załączników dłuższa od obowiązującej</w:t>
      </w:r>
      <w:r w:rsidR="006A5772">
        <w:rPr>
          <w:rFonts w:cstheme="minorHAnsi"/>
        </w:rPr>
        <w:t xml:space="preserve">, gdyż </w:t>
      </w:r>
      <w:r w:rsidR="00A518F7" w:rsidRPr="006A5772">
        <w:rPr>
          <w:rFonts w:cstheme="minorHAnsi"/>
        </w:rPr>
        <w:t>obejmuj</w:t>
      </w:r>
      <w:r w:rsidR="006A5772">
        <w:rPr>
          <w:rFonts w:cstheme="minorHAnsi"/>
        </w:rPr>
        <w:t>e</w:t>
      </w:r>
      <w:r w:rsidR="00A518F7" w:rsidRPr="006A5772">
        <w:rPr>
          <w:rFonts w:cstheme="minorHAnsi"/>
        </w:rPr>
        <w:t xml:space="preserve"> </w:t>
      </w:r>
      <w:r w:rsidR="006A5772">
        <w:rPr>
          <w:rFonts w:cstheme="minorHAnsi"/>
        </w:rPr>
        <w:t>więcej</w:t>
      </w:r>
      <w:r w:rsidR="00A518F7" w:rsidRPr="006A5772">
        <w:rPr>
          <w:rFonts w:cstheme="minorHAnsi"/>
        </w:rPr>
        <w:t xml:space="preserve"> zagadnień. Artykuł 1 określa przedmiot dyrektywy dotyczący </w:t>
      </w:r>
      <w:r w:rsidR="0067674C" w:rsidRPr="006A5772">
        <w:rPr>
          <w:rFonts w:cstheme="minorHAnsi"/>
          <w:i/>
          <w:iCs/>
        </w:rPr>
        <w:t>zbierania, oczyszczania i odprowadzania ścieków komunalnych w celu ochrony środowiska i zdrowia ludzkiego przy jednoczesnym stopniowym eliminowaniu emisji gazów cieplarnianych i poprawie bilansu energetycznego w zakresie zbierania i oczyszczania ścieków komunalnych. Ustanawia również zasady dotyczące dostępu do infrastruktury sanitarnej, przejrzystości sektora ścieków komunalnych oraz regularnego nadzoru ścieków komunalnych pod względem parametrów dotyczących zdrowia publicznego</w:t>
      </w:r>
      <w:r w:rsidR="0067674C" w:rsidRPr="006A5772">
        <w:rPr>
          <w:rFonts w:cstheme="minorHAnsi"/>
        </w:rPr>
        <w:t>.</w:t>
      </w:r>
      <w:r w:rsidR="00A518F7" w:rsidRPr="006A5772">
        <w:rPr>
          <w:rFonts w:cstheme="minorHAnsi"/>
        </w:rPr>
        <w:t xml:space="preserve"> Jest to więc zakres dużo szerszy od obecnego. Dyrektywa koncentruje się nie tylko na usuwaniu biogenów, ale także innych zanieczyszczeń. Zwraca uwagę </w:t>
      </w:r>
      <w:r w:rsidR="006A5772">
        <w:rPr>
          <w:rFonts w:cstheme="minorHAnsi"/>
        </w:rPr>
        <w:t xml:space="preserve">nie tylko na środowisko, ale i </w:t>
      </w:r>
      <w:r w:rsidR="00A518F7" w:rsidRPr="006A5772">
        <w:rPr>
          <w:rFonts w:cstheme="minorHAnsi"/>
        </w:rPr>
        <w:t>na zdrowie publiczne oraz wprowadza obowiązki związane z efektywnością energetyczną i emisja gazów cieplarnianych</w:t>
      </w:r>
      <w:r w:rsidR="006A5772">
        <w:rPr>
          <w:rFonts w:cstheme="minorHAnsi"/>
        </w:rPr>
        <w:t xml:space="preserve"> przez sektor ściekowy.</w:t>
      </w:r>
    </w:p>
    <w:p w14:paraId="711B01C7" w14:textId="0A7699D5" w:rsidR="00C7305F" w:rsidRPr="006A5772" w:rsidRDefault="00A518F7" w:rsidP="001B2E39">
      <w:pPr>
        <w:jc w:val="both"/>
        <w:rPr>
          <w:rFonts w:cstheme="minorHAnsi"/>
          <w:i/>
          <w:iCs/>
        </w:rPr>
      </w:pPr>
      <w:r w:rsidRPr="006A5772">
        <w:rPr>
          <w:rFonts w:cstheme="minorHAnsi"/>
        </w:rPr>
        <w:t xml:space="preserve">Artykuł 2 wprowadza 24 definicje.  Pojawiają się między innymi </w:t>
      </w:r>
      <w:r w:rsidR="00C7305F" w:rsidRPr="006A5772">
        <w:rPr>
          <w:rFonts w:cstheme="minorHAnsi"/>
        </w:rPr>
        <w:t>„ścieki inne niż bytowe”</w:t>
      </w:r>
      <w:r w:rsidRPr="006A5772">
        <w:rPr>
          <w:rFonts w:cstheme="minorHAnsi"/>
        </w:rPr>
        <w:t xml:space="preserve">, czyli </w:t>
      </w:r>
      <w:r w:rsidR="00C7305F" w:rsidRPr="006A5772">
        <w:rPr>
          <w:rFonts w:cstheme="minorHAnsi"/>
          <w:i/>
          <w:iCs/>
        </w:rPr>
        <w:t>wszelkie ścieki odprowadzane do systemów zbierania z obiektów wykorzystywanych do jednego z następujących celów:</w:t>
      </w:r>
    </w:p>
    <w:p w14:paraId="3D6C38CB" w14:textId="77777777" w:rsidR="003D3C50" w:rsidRPr="006A5772" w:rsidRDefault="003D3C50" w:rsidP="001B2E39">
      <w:pPr>
        <w:pStyle w:val="Akapitzlist"/>
        <w:jc w:val="both"/>
        <w:rPr>
          <w:rFonts w:cstheme="minorHAnsi"/>
          <w:i/>
          <w:iCs/>
        </w:rPr>
      </w:pPr>
      <w:r w:rsidRPr="006A5772">
        <w:rPr>
          <w:rFonts w:cstheme="minorHAnsi"/>
          <w:i/>
          <w:iCs/>
        </w:rPr>
        <w:t>a) działalność handlowa;</w:t>
      </w:r>
    </w:p>
    <w:p w14:paraId="7BCB8B39" w14:textId="77777777" w:rsidR="003D3C50" w:rsidRPr="006A5772" w:rsidRDefault="003D3C50" w:rsidP="001B2E39">
      <w:pPr>
        <w:pStyle w:val="Akapitzlist"/>
        <w:jc w:val="both"/>
        <w:rPr>
          <w:rFonts w:cstheme="minorHAnsi"/>
          <w:i/>
          <w:iCs/>
        </w:rPr>
      </w:pPr>
      <w:r w:rsidRPr="006A5772">
        <w:rPr>
          <w:rFonts w:cstheme="minorHAnsi"/>
          <w:i/>
          <w:iCs/>
        </w:rPr>
        <w:t>b) działalności prowadzona przez instytucję;</w:t>
      </w:r>
    </w:p>
    <w:p w14:paraId="7862ED7C" w14:textId="1AAB2989" w:rsidR="003D3C50" w:rsidRPr="006A5772" w:rsidRDefault="003D3C50" w:rsidP="001B2E39">
      <w:pPr>
        <w:pStyle w:val="Akapitzlist"/>
        <w:jc w:val="both"/>
        <w:rPr>
          <w:rFonts w:cstheme="minorHAnsi"/>
        </w:rPr>
      </w:pPr>
      <w:r w:rsidRPr="006A5772">
        <w:rPr>
          <w:rFonts w:cstheme="minorHAnsi"/>
          <w:i/>
          <w:iCs/>
        </w:rPr>
        <w:t>c) działalność przemysłowa</w:t>
      </w:r>
      <w:r w:rsidRPr="006A5772">
        <w:rPr>
          <w:rFonts w:cstheme="minorHAnsi"/>
        </w:rPr>
        <w:t>.</w:t>
      </w:r>
    </w:p>
    <w:p w14:paraId="760EF18B" w14:textId="11154B1A" w:rsidR="00AC5E08" w:rsidRPr="006A5772" w:rsidRDefault="00D539E5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Do definicji</w:t>
      </w:r>
      <w:r w:rsidR="00A518F7" w:rsidRPr="006A5772">
        <w:rPr>
          <w:rFonts w:cstheme="minorHAnsi"/>
        </w:rPr>
        <w:t xml:space="preserve"> aglomeracji</w:t>
      </w:r>
      <w:r w:rsidRPr="006A5772">
        <w:rPr>
          <w:rFonts w:cstheme="minorHAnsi"/>
        </w:rPr>
        <w:t xml:space="preserve"> wprowadza się kryterium koncentracji co najmniej </w:t>
      </w:r>
      <w:r w:rsidR="003D3C50" w:rsidRPr="006A5772">
        <w:rPr>
          <w:rFonts w:cstheme="minorHAnsi"/>
        </w:rPr>
        <w:t>10 RLM na hektar.</w:t>
      </w:r>
      <w:r w:rsidRPr="006A5772">
        <w:rPr>
          <w:rFonts w:cstheme="minorHAnsi"/>
        </w:rPr>
        <w:t xml:space="preserve"> </w:t>
      </w:r>
      <w:r w:rsidR="000B7018" w:rsidRPr="006A5772">
        <w:rPr>
          <w:rFonts w:cstheme="minorHAnsi"/>
        </w:rPr>
        <w:t xml:space="preserve">Należałoby się zastanowić, czy taki parametr jest wystarczający do określenia opłacalności inwestycji. </w:t>
      </w:r>
      <w:r w:rsidRPr="006A5772">
        <w:rPr>
          <w:rFonts w:cstheme="minorHAnsi"/>
        </w:rPr>
        <w:t xml:space="preserve">Ze względu na istotę zanieczyszczeń pochodzących z wód opadowych </w:t>
      </w:r>
      <w:r w:rsidR="000B7018" w:rsidRPr="006A5772">
        <w:rPr>
          <w:rFonts w:cstheme="minorHAnsi"/>
        </w:rPr>
        <w:t>wprowadzono definicje spływu miejskiego.</w:t>
      </w:r>
    </w:p>
    <w:p w14:paraId="263EEE5F" w14:textId="0E4E7771" w:rsidR="003E33AF" w:rsidRPr="006A5772" w:rsidRDefault="000B7018" w:rsidP="001B2E39">
      <w:pPr>
        <w:jc w:val="both"/>
        <w:rPr>
          <w:rFonts w:cstheme="minorHAnsi"/>
          <w:i/>
          <w:iCs/>
          <w:sz w:val="20"/>
          <w:szCs w:val="20"/>
        </w:rPr>
      </w:pPr>
      <w:r w:rsidRPr="006A5772">
        <w:rPr>
          <w:rFonts w:cstheme="minorHAnsi"/>
        </w:rPr>
        <w:t xml:space="preserve">Poza znanym już oczyszczaniem wtórnym i trzeciego stopnia, wprowadzono pojęcie oczyszczania czwartego stopnia, które </w:t>
      </w:r>
      <w:r w:rsidR="00AC5E08" w:rsidRPr="006A5772">
        <w:rPr>
          <w:rFonts w:cstheme="minorHAnsi"/>
        </w:rPr>
        <w:t xml:space="preserve">oznacza </w:t>
      </w:r>
      <w:r w:rsidR="00AC5E08" w:rsidRPr="006A5772">
        <w:rPr>
          <w:rFonts w:cstheme="minorHAnsi"/>
          <w:i/>
          <w:iCs/>
        </w:rPr>
        <w:t>oczyszczanie ścieków komunalnych w procesie, który usuwa szerokie spektrum mikrozanieczyszczeń ze ścieków komunalnych</w:t>
      </w:r>
      <w:r w:rsidRPr="006A5772">
        <w:rPr>
          <w:rFonts w:cstheme="minorHAnsi"/>
        </w:rPr>
        <w:t xml:space="preserve">. </w:t>
      </w:r>
      <w:r w:rsidR="003E33AF" w:rsidRPr="006A5772">
        <w:rPr>
          <w:rFonts w:cstheme="minorHAnsi"/>
        </w:rPr>
        <w:t xml:space="preserve">„Mikrozanieczyszczenie” </w:t>
      </w:r>
      <w:r w:rsidR="00AC5E08" w:rsidRPr="006A5772">
        <w:rPr>
          <w:rFonts w:cstheme="minorHAnsi"/>
          <w:i/>
          <w:iCs/>
        </w:rPr>
        <w:t>oznacza substancję, w tym produkty jej rozkładu, która zwykle występuje w środowisku i ściekach komunalnych w stężeniu poniżej miligramów na litr i którą można uznać za niebezpieczną dla zdrowia ludzkiego lub środowiska na podstawie którejkolwiek z kryteriów określonych w części 3 i części 4 załącznika I do rozporządzenia 1272/2008</w:t>
      </w:r>
      <w:r w:rsidR="002F4B86">
        <w:rPr>
          <w:rFonts w:cstheme="minorHAnsi"/>
          <w:i/>
          <w:iCs/>
        </w:rPr>
        <w:t xml:space="preserve"> (</w:t>
      </w:r>
      <w:r w:rsidR="002F4B86" w:rsidRPr="002F4B86">
        <w:rPr>
          <w:rFonts w:cstheme="minorHAnsi"/>
        </w:rPr>
        <w:t>w sprawie klasyfikacji, oznakowania i pakowania substancji</w:t>
      </w:r>
      <w:r w:rsidR="002F4B86">
        <w:rPr>
          <w:rFonts w:cstheme="minorHAnsi"/>
        </w:rPr>
        <w:t xml:space="preserve"> i mieszanin)</w:t>
      </w:r>
      <w:r w:rsidR="003E33AF" w:rsidRPr="006A5772">
        <w:rPr>
          <w:rFonts w:cstheme="minorHAnsi"/>
          <w:i/>
          <w:iCs/>
        </w:rPr>
        <w:t>.</w:t>
      </w:r>
    </w:p>
    <w:p w14:paraId="6DD53933" w14:textId="2A44A1AF" w:rsidR="00BE04E7" w:rsidRPr="006A5772" w:rsidRDefault="003E33AF" w:rsidP="001B2E39">
      <w:pPr>
        <w:tabs>
          <w:tab w:val="left" w:pos="851"/>
        </w:tabs>
        <w:jc w:val="both"/>
        <w:rPr>
          <w:rFonts w:cstheme="minorHAnsi"/>
        </w:rPr>
      </w:pPr>
      <w:r w:rsidRPr="006A5772">
        <w:rPr>
          <w:rFonts w:cstheme="minorHAnsi"/>
        </w:rPr>
        <w:t xml:space="preserve">Przed państwami członkowskimi, a więc głównie branżą ściekową postawiono wiele nowych wyzwań. </w:t>
      </w:r>
      <w:r w:rsidR="00BE04E7" w:rsidRPr="006A5772">
        <w:rPr>
          <w:rFonts w:cstheme="minorHAnsi"/>
        </w:rPr>
        <w:t xml:space="preserve">Do dnia 31 grudnia 2030 r. wszystkie aglomeracje od 1 000 do 2 000 </w:t>
      </w:r>
      <w:r w:rsidR="006200E4" w:rsidRPr="006A5772">
        <w:rPr>
          <w:rFonts w:cstheme="minorHAnsi"/>
        </w:rPr>
        <w:t>RLM mają być wyposażone</w:t>
      </w:r>
      <w:r w:rsidR="00BE04E7" w:rsidRPr="006A5772">
        <w:rPr>
          <w:rFonts w:cstheme="minorHAnsi"/>
        </w:rPr>
        <w:t xml:space="preserve"> w systemy zbierania</w:t>
      </w:r>
      <w:r w:rsidR="006200E4" w:rsidRPr="006A5772">
        <w:rPr>
          <w:rFonts w:cstheme="minorHAnsi"/>
        </w:rPr>
        <w:t xml:space="preserve">. Termin ten wydaje się mało realistyczny biorąc pod uwagę, że debata nad dyrektywą potrwa co najmniej rok, a następnie konieczny jest rok lub dwa lata na jej transpozycję do prawa lokalnego. </w:t>
      </w:r>
    </w:p>
    <w:p w14:paraId="1384AC7C" w14:textId="244EE215" w:rsidR="007C51EB" w:rsidRPr="006A5772" w:rsidRDefault="006200E4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lastRenderedPageBreak/>
        <w:t xml:space="preserve">Artykuł 4 poświęcony jest systemom indywidualnym, które </w:t>
      </w:r>
      <w:r w:rsidR="002F4B86">
        <w:rPr>
          <w:rFonts w:cstheme="minorHAnsi"/>
        </w:rPr>
        <w:t>mają być</w:t>
      </w:r>
      <w:r w:rsidRPr="006A5772">
        <w:rPr>
          <w:rFonts w:cstheme="minorHAnsi"/>
        </w:rPr>
        <w:t xml:space="preserve"> wyjątkowo dopuszczane</w:t>
      </w:r>
      <w:r w:rsidR="002F4B86">
        <w:rPr>
          <w:rFonts w:cstheme="minorHAnsi"/>
        </w:rPr>
        <w:t xml:space="preserve"> tam</w:t>
      </w:r>
      <w:r w:rsidRPr="006A5772">
        <w:rPr>
          <w:rFonts w:cstheme="minorHAnsi"/>
        </w:rPr>
        <w:t xml:space="preserve">, </w:t>
      </w:r>
      <w:r w:rsidR="002F4B86">
        <w:rPr>
          <w:rFonts w:cstheme="minorHAnsi"/>
        </w:rPr>
        <w:t>gdzie</w:t>
      </w:r>
      <w:r w:rsidRPr="006A5772">
        <w:rPr>
          <w:rFonts w:cstheme="minorHAnsi"/>
        </w:rPr>
        <w:t xml:space="preserve"> ustanowienie systemu zbierania nie jest uzasadnione, ponieważ nie przyniosłoby żadnych korzyści dla środowiska lub wiązałoby się z nadmiernymi kosztami. </w:t>
      </w:r>
      <w:r w:rsidR="002F4B86">
        <w:rPr>
          <w:rFonts w:cstheme="minorHAnsi"/>
        </w:rPr>
        <w:t>Systemy indywidualne m</w:t>
      </w:r>
      <w:r w:rsidRPr="006A5772">
        <w:rPr>
          <w:rFonts w:cstheme="minorHAnsi"/>
        </w:rPr>
        <w:t>uszą jednak zapewnić trzeci stopień oczyszczania</w:t>
      </w:r>
      <w:r w:rsidR="0047326A" w:rsidRPr="006A5772">
        <w:rPr>
          <w:rFonts w:cstheme="minorHAnsi"/>
        </w:rPr>
        <w:t xml:space="preserve">, figurować </w:t>
      </w:r>
      <w:r w:rsidR="007C51EB" w:rsidRPr="006A5772">
        <w:rPr>
          <w:rFonts w:cstheme="minorHAnsi"/>
        </w:rPr>
        <w:t>w rejestrze publicznym</w:t>
      </w:r>
      <w:r w:rsidR="0047326A" w:rsidRPr="006A5772">
        <w:rPr>
          <w:rFonts w:cstheme="minorHAnsi"/>
        </w:rPr>
        <w:t xml:space="preserve"> i być regularnie kontrolowane przez właściwe organy</w:t>
      </w:r>
      <w:r w:rsidR="007C51EB" w:rsidRPr="006A5772">
        <w:rPr>
          <w:rFonts w:cstheme="minorHAnsi"/>
        </w:rPr>
        <w:t xml:space="preserve">. </w:t>
      </w:r>
    </w:p>
    <w:p w14:paraId="7E966AA4" w14:textId="5AC904B3" w:rsidR="009E5B85" w:rsidRPr="006A5772" w:rsidRDefault="0047326A" w:rsidP="001B2E39">
      <w:pPr>
        <w:jc w:val="both"/>
        <w:rPr>
          <w:rFonts w:cstheme="minorHAnsi"/>
          <w:i/>
          <w:iCs/>
        </w:rPr>
      </w:pPr>
      <w:r w:rsidRPr="006A5772">
        <w:rPr>
          <w:rFonts w:cstheme="minorHAnsi"/>
        </w:rPr>
        <w:t xml:space="preserve">Kolejny artykuł </w:t>
      </w:r>
      <w:r w:rsidR="002F4B86">
        <w:rPr>
          <w:rFonts w:cstheme="minorHAnsi"/>
        </w:rPr>
        <w:t xml:space="preserve">proponowanej dyrektywy </w:t>
      </w:r>
      <w:r w:rsidRPr="006A5772">
        <w:rPr>
          <w:rFonts w:cstheme="minorHAnsi"/>
        </w:rPr>
        <w:t xml:space="preserve">dotyczy planów </w:t>
      </w:r>
      <w:r w:rsidR="0020207D" w:rsidRPr="006A5772">
        <w:rPr>
          <w:rFonts w:cstheme="minorHAnsi"/>
        </w:rPr>
        <w:t>zintegrowanej gospodarki ściekami komunalnymi</w:t>
      </w:r>
      <w:r w:rsidRPr="006A5772">
        <w:rPr>
          <w:rFonts w:cstheme="minorHAnsi"/>
        </w:rPr>
        <w:t xml:space="preserve">, które mają być opracowywane najpierw dla największych aglomeracji (powyżej 100 000 RLM), następnie dla mniejszych. Najistotniejsze jest skupienie się na </w:t>
      </w:r>
      <w:r w:rsidR="002F4B86" w:rsidRPr="006A5772">
        <w:rPr>
          <w:rFonts w:cstheme="minorHAnsi"/>
        </w:rPr>
        <w:t>aglomeracjach,</w:t>
      </w:r>
      <w:r w:rsidRPr="006A5772">
        <w:rPr>
          <w:rFonts w:cstheme="minorHAnsi"/>
        </w:rPr>
        <w:t xml:space="preserve"> </w:t>
      </w:r>
      <w:r w:rsidR="0020207D" w:rsidRPr="006A5772">
        <w:rPr>
          <w:rFonts w:cstheme="minorHAnsi"/>
          <w:i/>
          <w:iCs/>
        </w:rPr>
        <w:t xml:space="preserve">gdzie, biorąc pod uwagę dane historyczne i najnowocześniejsze prognozy klimatyczne, ma zastosowanie jeden lub więcej z następujących warunków: </w:t>
      </w:r>
    </w:p>
    <w:p w14:paraId="0F46CAB4" w14:textId="77777777" w:rsidR="009E5B85" w:rsidRPr="006A5772" w:rsidRDefault="0020207D" w:rsidP="001B2E39">
      <w:pPr>
        <w:ind w:firstLine="708"/>
        <w:jc w:val="both"/>
        <w:rPr>
          <w:rFonts w:cstheme="minorHAnsi"/>
          <w:i/>
          <w:iCs/>
        </w:rPr>
      </w:pPr>
      <w:r w:rsidRPr="006A5772">
        <w:rPr>
          <w:rFonts w:cstheme="minorHAnsi"/>
          <w:i/>
          <w:iCs/>
        </w:rPr>
        <w:t xml:space="preserve">a) przelew wód burzowych lub spływy miejskie stwarzają zagrożenie dla środowiska lub zdrowia ludzkiego; </w:t>
      </w:r>
    </w:p>
    <w:p w14:paraId="54CD6133" w14:textId="77777777" w:rsidR="009E5B85" w:rsidRPr="006A5772" w:rsidRDefault="0020207D" w:rsidP="001B2E39">
      <w:pPr>
        <w:ind w:firstLine="708"/>
        <w:jc w:val="both"/>
        <w:rPr>
          <w:rFonts w:cstheme="minorHAnsi"/>
          <w:i/>
          <w:iCs/>
        </w:rPr>
      </w:pPr>
      <w:r w:rsidRPr="006A5772">
        <w:rPr>
          <w:rFonts w:cstheme="minorHAnsi"/>
          <w:i/>
          <w:iCs/>
        </w:rPr>
        <w:t xml:space="preserve">b) przelew wód burzowych stanowi ponad 1 % rocznego ładunku zebranych ścieków komunalnych, obliczonego przy suchej pogodzie; </w:t>
      </w:r>
    </w:p>
    <w:p w14:paraId="2AFE7821" w14:textId="02033F89" w:rsidR="00D51211" w:rsidRPr="006A5772" w:rsidRDefault="0020207D" w:rsidP="001B2E39">
      <w:pPr>
        <w:ind w:firstLine="708"/>
        <w:jc w:val="both"/>
        <w:rPr>
          <w:rFonts w:cstheme="minorHAnsi"/>
        </w:rPr>
      </w:pPr>
      <w:r w:rsidRPr="006A5772">
        <w:rPr>
          <w:rFonts w:cstheme="minorHAnsi"/>
          <w:i/>
          <w:iCs/>
        </w:rPr>
        <w:t xml:space="preserve">c) przelew wód burzowych lub spływy miejskie uniemożliwiają spełnienie </w:t>
      </w:r>
      <w:r w:rsidRPr="006A5772">
        <w:rPr>
          <w:rFonts w:cstheme="minorHAnsi"/>
        </w:rPr>
        <w:t>warunków</w:t>
      </w:r>
      <w:r w:rsidR="0047326A" w:rsidRPr="006A5772">
        <w:rPr>
          <w:rFonts w:cstheme="minorHAnsi"/>
        </w:rPr>
        <w:t xml:space="preserve"> związanych z ochroną wód przeznaczonych do spożycia, dyrektywą kąpieliskową, środowiskowymi normami jakości, </w:t>
      </w:r>
      <w:r w:rsidR="00347978" w:rsidRPr="006A5772">
        <w:rPr>
          <w:rFonts w:cstheme="minorHAnsi"/>
        </w:rPr>
        <w:t xml:space="preserve">celami środowiskowymi związanymi z ramową dyrektywą wodną. Dla tych aglomeracji konieczne będzie opracowanie planów, których szczegóły opisane są w załączniku V. Obejmują szczegółowy opis systemów zbierania i oczyszczania ścieków, dynamiczną analizę spływów miejskich i bilansu ścieków komunalnych z uwzględnieniem analiz klimatycznych i bilansów jakościowych. Plany obejmować mają także cele i środki w zakresie zmniejszenia zanieczyszczenia spowodowanego przelewami wód burzowych i </w:t>
      </w:r>
      <w:r w:rsidR="00347978" w:rsidRPr="002F4B86">
        <w:rPr>
          <w:rFonts w:cstheme="minorHAnsi"/>
        </w:rPr>
        <w:t>spływami miejskimi.</w:t>
      </w:r>
      <w:r w:rsidR="00347978" w:rsidRPr="006A5772">
        <w:rPr>
          <w:rFonts w:cstheme="minorHAnsi"/>
        </w:rPr>
        <w:t xml:space="preserve"> </w:t>
      </w:r>
      <w:r w:rsidR="002F4B86">
        <w:rPr>
          <w:rFonts w:cstheme="minorHAnsi"/>
        </w:rPr>
        <w:t>Plany w</w:t>
      </w:r>
      <w:r w:rsidR="00D51211" w:rsidRPr="006A5772">
        <w:rPr>
          <w:rFonts w:cstheme="minorHAnsi"/>
        </w:rPr>
        <w:t xml:space="preserve">ymagają szczegółowej analizy przepływów łącznie z modelowaniem hydrologicznym i hydraulicznym w oparciu o prognozy klimatyczne i ładunki zanieczyszczeń pochodzące z wód opadowych. Ważną częścią planu są </w:t>
      </w:r>
      <w:r w:rsidR="002F4B86">
        <w:rPr>
          <w:rFonts w:cstheme="minorHAnsi"/>
        </w:rPr>
        <w:t>konieczne do opracowania rozwiązania organizacyjne oraz inwestycje. Podkreśla się konieczność wdrażania rozwiązań na rzecz bioróżnorodności,</w:t>
      </w:r>
      <w:r w:rsidR="00D51211" w:rsidRPr="006A5772">
        <w:rPr>
          <w:rFonts w:cstheme="minorHAnsi"/>
        </w:rPr>
        <w:t xml:space="preserve"> opart</w:t>
      </w:r>
      <w:r w:rsidR="002F4B86">
        <w:rPr>
          <w:rFonts w:cstheme="minorHAnsi"/>
        </w:rPr>
        <w:t>ych</w:t>
      </w:r>
      <w:r w:rsidR="00D51211" w:rsidRPr="006A5772">
        <w:rPr>
          <w:rFonts w:cstheme="minorHAnsi"/>
        </w:rPr>
        <w:t xml:space="preserve"> na naturze. </w:t>
      </w:r>
    </w:p>
    <w:p w14:paraId="78DF01B0" w14:textId="1265B423" w:rsidR="0020207D" w:rsidRPr="006A5772" w:rsidRDefault="00AC0979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Artykuł 6 dotyczy oczyszczania wtórnego i obowiązku jego wprowadzenia w 2030 roku we wszystkich aglomeracjach o RLM równej co najmniej 1 000.</w:t>
      </w:r>
    </w:p>
    <w:p w14:paraId="3DEBB298" w14:textId="638E5BB4" w:rsidR="00D102A9" w:rsidRPr="006A5772" w:rsidRDefault="002F4B86" w:rsidP="001B2E39">
      <w:pPr>
        <w:jc w:val="both"/>
        <w:rPr>
          <w:rFonts w:cstheme="minorHAnsi"/>
        </w:rPr>
      </w:pPr>
      <w:r>
        <w:rPr>
          <w:rFonts w:cstheme="minorHAnsi"/>
        </w:rPr>
        <w:t>Z kolei a</w:t>
      </w:r>
      <w:r w:rsidR="00AC0979" w:rsidRPr="006A5772">
        <w:rPr>
          <w:rFonts w:cstheme="minorHAnsi"/>
        </w:rPr>
        <w:t xml:space="preserve">rtykuł 7 wprowadza obowiązek wdrożenia </w:t>
      </w:r>
      <w:r w:rsidR="00AD6ADC" w:rsidRPr="006A5772">
        <w:rPr>
          <w:rFonts w:cstheme="minorHAnsi"/>
        </w:rPr>
        <w:t xml:space="preserve">do 2035 roku </w:t>
      </w:r>
      <w:r w:rsidR="00AC0979" w:rsidRPr="006A5772">
        <w:rPr>
          <w:rFonts w:cstheme="minorHAnsi"/>
        </w:rPr>
        <w:t xml:space="preserve">trzeciego stopnia oczyszczania w oczyszczalniach </w:t>
      </w:r>
      <w:r w:rsidR="00D102A9" w:rsidRPr="006A5772">
        <w:rPr>
          <w:rFonts w:cstheme="minorHAnsi"/>
        </w:rPr>
        <w:t>przetwarzając</w:t>
      </w:r>
      <w:r w:rsidR="00AC0979" w:rsidRPr="006A5772">
        <w:rPr>
          <w:rFonts w:cstheme="minorHAnsi"/>
        </w:rPr>
        <w:t>ych</w:t>
      </w:r>
      <w:r w:rsidR="00D102A9" w:rsidRPr="006A5772">
        <w:rPr>
          <w:rFonts w:cstheme="minorHAnsi"/>
        </w:rPr>
        <w:t xml:space="preserve"> ładunek o RLM 100 000 i powyżej</w:t>
      </w:r>
      <w:r w:rsidR="00AD6ADC" w:rsidRPr="006A5772">
        <w:rPr>
          <w:rFonts w:cstheme="minorHAnsi"/>
        </w:rPr>
        <w:t xml:space="preserve">, a do 2040 roku w oczyszczalniach obsługujących co najmniej 10 000 </w:t>
      </w:r>
      <w:r>
        <w:rPr>
          <w:rFonts w:cstheme="minorHAnsi"/>
        </w:rPr>
        <w:t>R</w:t>
      </w:r>
      <w:r w:rsidR="00AD6ADC" w:rsidRPr="006A5772">
        <w:rPr>
          <w:rFonts w:cstheme="minorHAnsi"/>
        </w:rPr>
        <w:t>LM</w:t>
      </w:r>
      <w:r w:rsidR="00AC0979" w:rsidRPr="006A5772">
        <w:rPr>
          <w:rFonts w:cstheme="minorHAnsi"/>
        </w:rPr>
        <w:t xml:space="preserve">. </w:t>
      </w:r>
      <w:r w:rsidR="00AD6ADC" w:rsidRPr="006A5772">
        <w:rPr>
          <w:rFonts w:cstheme="minorHAnsi"/>
        </w:rPr>
        <w:t xml:space="preserve">Polskie oczyszczalnie leżące w basenie Morza Bałtyckiego </w:t>
      </w:r>
      <w:r>
        <w:rPr>
          <w:rFonts w:cstheme="minorHAnsi"/>
        </w:rPr>
        <w:t xml:space="preserve">są w korzystniejszej sytuacji w porównaniu do innych regionów, </w:t>
      </w:r>
      <w:r w:rsidR="00AD6ADC" w:rsidRPr="006A5772">
        <w:rPr>
          <w:rFonts w:cstheme="minorHAnsi"/>
        </w:rPr>
        <w:t>które nie leżą na obszarach narażonych na eutrofizację</w:t>
      </w:r>
      <w:r>
        <w:rPr>
          <w:rFonts w:cstheme="minorHAnsi"/>
        </w:rPr>
        <w:t xml:space="preserve"> i aktualnie nie stosują trzeciego stopnia oczyszczania</w:t>
      </w:r>
      <w:r w:rsidR="00AD6ADC" w:rsidRPr="006A5772">
        <w:rPr>
          <w:rFonts w:cstheme="minorHAnsi"/>
        </w:rPr>
        <w:t>.</w:t>
      </w:r>
    </w:p>
    <w:p w14:paraId="608DAAE3" w14:textId="45BFB94D" w:rsidR="00646DE1" w:rsidRPr="006A5772" w:rsidRDefault="002F4B86" w:rsidP="001B2E39">
      <w:pPr>
        <w:jc w:val="both"/>
        <w:rPr>
          <w:rFonts w:cstheme="minorHAnsi"/>
        </w:rPr>
      </w:pPr>
      <w:r>
        <w:rPr>
          <w:rFonts w:cstheme="minorHAnsi"/>
        </w:rPr>
        <w:t xml:space="preserve">W artykule 8 pojawia się jednak czwarty stopień oczyszczania. </w:t>
      </w:r>
      <w:r w:rsidR="00646DE1" w:rsidRPr="006A5772">
        <w:rPr>
          <w:rFonts w:cstheme="minorHAnsi"/>
        </w:rPr>
        <w:t xml:space="preserve">Do </w:t>
      </w:r>
      <w:r w:rsidR="009003E2" w:rsidRPr="006A5772">
        <w:rPr>
          <w:rFonts w:cstheme="minorHAnsi"/>
        </w:rPr>
        <w:t>2030</w:t>
      </w:r>
      <w:r w:rsidR="00646DE1" w:rsidRPr="006A5772">
        <w:rPr>
          <w:rFonts w:cstheme="minorHAnsi"/>
        </w:rPr>
        <w:t xml:space="preserve"> r</w:t>
      </w:r>
      <w:r>
        <w:rPr>
          <w:rFonts w:cstheme="minorHAnsi"/>
        </w:rPr>
        <w:t>.</w:t>
      </w:r>
      <w:r w:rsidR="009003E2" w:rsidRPr="006A5772">
        <w:rPr>
          <w:rFonts w:cstheme="minorHAnsi"/>
        </w:rPr>
        <w:t xml:space="preserve"> konieczne będzie sporządzenie</w:t>
      </w:r>
      <w:r w:rsidR="00646DE1" w:rsidRPr="006A5772">
        <w:rPr>
          <w:rFonts w:cstheme="minorHAnsi"/>
        </w:rPr>
        <w:t xml:space="preserve"> wykaz</w:t>
      </w:r>
      <w:r w:rsidR="009003E2" w:rsidRPr="006A5772">
        <w:rPr>
          <w:rFonts w:cstheme="minorHAnsi"/>
        </w:rPr>
        <w:t>u</w:t>
      </w:r>
      <w:r w:rsidR="00646DE1" w:rsidRPr="006A5772">
        <w:rPr>
          <w:rFonts w:cstheme="minorHAnsi"/>
        </w:rPr>
        <w:t xml:space="preserve"> obszarów, </w:t>
      </w:r>
      <w:r w:rsidR="00646DE1" w:rsidRPr="006A5772">
        <w:rPr>
          <w:rFonts w:cstheme="minorHAnsi"/>
          <w:i/>
          <w:iCs/>
        </w:rPr>
        <w:t xml:space="preserve">na których stężenie lub akumulacja mikrozanieczyszczeń stanowi zagrożenie dla </w:t>
      </w:r>
      <w:r w:rsidR="00C9417E" w:rsidRPr="006A5772">
        <w:rPr>
          <w:rFonts w:cstheme="minorHAnsi"/>
          <w:i/>
          <w:iCs/>
        </w:rPr>
        <w:t xml:space="preserve">zdrowia </w:t>
      </w:r>
      <w:r w:rsidR="00646DE1" w:rsidRPr="006A5772">
        <w:rPr>
          <w:rFonts w:cstheme="minorHAnsi"/>
          <w:i/>
          <w:iCs/>
        </w:rPr>
        <w:t>ludzi lub środowisk</w:t>
      </w:r>
      <w:r w:rsidR="00C9417E" w:rsidRPr="006A5772">
        <w:rPr>
          <w:rFonts w:cstheme="minorHAnsi"/>
          <w:i/>
          <w:iCs/>
        </w:rPr>
        <w:t>a</w:t>
      </w:r>
      <w:r w:rsidR="00646DE1" w:rsidRPr="006A5772">
        <w:rPr>
          <w:rFonts w:cstheme="minorHAnsi"/>
        </w:rPr>
        <w:t xml:space="preserve">. </w:t>
      </w:r>
      <w:r w:rsidR="009003E2" w:rsidRPr="006A5772">
        <w:rPr>
          <w:rFonts w:cstheme="minorHAnsi"/>
        </w:rPr>
        <w:t>Dotyczy to szczególnie części wód przeznaczonych do spożycia, wód w kąpieliskach, jezior, rzek, obszarów wykorzystywanych do akwakultury.</w:t>
      </w:r>
    </w:p>
    <w:p w14:paraId="42DF7AC5" w14:textId="718FB8B2" w:rsidR="008F13A0" w:rsidRPr="006A5772" w:rsidRDefault="009003E2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Propozycja dyrektywy </w:t>
      </w:r>
      <w:r w:rsidR="00122DDB" w:rsidRPr="006A5772">
        <w:rPr>
          <w:rFonts w:cstheme="minorHAnsi"/>
        </w:rPr>
        <w:t>wprowadza oczekiwaną przez branżę rozszerzoną odpowiedzialność producenta obejmującą podmioty wprowadzające na rynek produkty lecznicze objęte zakresem dyrektywy 2001/83/WE oraz produkty kosmetyczne objęte zakresem rozporządzenia 1223/2009</w:t>
      </w:r>
      <w:r w:rsidR="008F13A0" w:rsidRPr="006A5772">
        <w:rPr>
          <w:rFonts w:cstheme="minorHAnsi"/>
        </w:rPr>
        <w:t xml:space="preserve">. </w:t>
      </w:r>
      <w:r w:rsidR="00B364F3" w:rsidRPr="006A5772">
        <w:rPr>
          <w:rFonts w:cstheme="minorHAnsi"/>
        </w:rPr>
        <w:t xml:space="preserve">Producenci </w:t>
      </w:r>
      <w:r w:rsidR="00DE187F" w:rsidRPr="006A5772">
        <w:rPr>
          <w:rFonts w:cstheme="minorHAnsi"/>
        </w:rPr>
        <w:t>mają</w:t>
      </w:r>
      <w:r w:rsidR="00B364F3" w:rsidRPr="006A5772">
        <w:rPr>
          <w:rFonts w:cstheme="minorHAnsi"/>
        </w:rPr>
        <w:t xml:space="preserve"> uczestniczyć w kosztach </w:t>
      </w:r>
      <w:r w:rsidR="008F13A0" w:rsidRPr="006A5772">
        <w:rPr>
          <w:rFonts w:cstheme="minorHAnsi"/>
        </w:rPr>
        <w:t xml:space="preserve">czwartego stopnia </w:t>
      </w:r>
      <w:r w:rsidR="00B364F3" w:rsidRPr="006A5772">
        <w:rPr>
          <w:rFonts w:cstheme="minorHAnsi"/>
        </w:rPr>
        <w:t xml:space="preserve">oczyszczania </w:t>
      </w:r>
      <w:r w:rsidR="008F13A0" w:rsidRPr="006A5772">
        <w:rPr>
          <w:rFonts w:cstheme="minorHAnsi"/>
        </w:rPr>
        <w:t xml:space="preserve">ścieków komunalnych, </w:t>
      </w:r>
      <w:r w:rsidR="00B364F3" w:rsidRPr="006A5772">
        <w:rPr>
          <w:rFonts w:cstheme="minorHAnsi"/>
        </w:rPr>
        <w:t xml:space="preserve">kosztach </w:t>
      </w:r>
      <w:r w:rsidR="008F13A0" w:rsidRPr="006A5772">
        <w:rPr>
          <w:rFonts w:cstheme="minorHAnsi"/>
        </w:rPr>
        <w:t>gromadzenia i weryfikacji danych o produktach wprowadzonych do obrotu oraz inn</w:t>
      </w:r>
      <w:r w:rsidR="00495129" w:rsidRPr="006A5772">
        <w:rPr>
          <w:rFonts w:cstheme="minorHAnsi"/>
        </w:rPr>
        <w:t>ych</w:t>
      </w:r>
      <w:r w:rsidR="008F13A0" w:rsidRPr="006A5772">
        <w:rPr>
          <w:rFonts w:cstheme="minorHAnsi"/>
        </w:rPr>
        <w:t xml:space="preserve"> koszt</w:t>
      </w:r>
      <w:r w:rsidR="00B364F3" w:rsidRPr="006A5772">
        <w:rPr>
          <w:rFonts w:cstheme="minorHAnsi"/>
        </w:rPr>
        <w:t>ach</w:t>
      </w:r>
      <w:r w:rsidR="008F13A0" w:rsidRPr="006A5772">
        <w:rPr>
          <w:rFonts w:cstheme="minorHAnsi"/>
        </w:rPr>
        <w:t xml:space="preserve"> wymagan</w:t>
      </w:r>
      <w:r w:rsidR="00495129" w:rsidRPr="006A5772">
        <w:rPr>
          <w:rFonts w:cstheme="minorHAnsi"/>
        </w:rPr>
        <w:t>ych</w:t>
      </w:r>
      <w:r w:rsidR="008F13A0" w:rsidRPr="006A5772">
        <w:rPr>
          <w:rFonts w:cstheme="minorHAnsi"/>
        </w:rPr>
        <w:t xml:space="preserve"> do wykonywania rozszerzonej odpowiedzialności producenta.</w:t>
      </w:r>
      <w:r w:rsidR="00DE187F" w:rsidRPr="006A5772">
        <w:rPr>
          <w:rFonts w:cstheme="minorHAnsi"/>
        </w:rPr>
        <w:t xml:space="preserve"> Producenci mają powoływać organizacje odpowiedzialności </w:t>
      </w:r>
      <w:r w:rsidR="00DE187F" w:rsidRPr="006A5772">
        <w:rPr>
          <w:rFonts w:cstheme="minorHAnsi"/>
        </w:rPr>
        <w:lastRenderedPageBreak/>
        <w:t>producenta, które będą dysponować środkami finansowymi oraz monitorować, zbierać i udostępniać odpowiednim organom oraz opinii publicznej informacje na temat realizacji obowiązków.</w:t>
      </w:r>
    </w:p>
    <w:p w14:paraId="78EF40B7" w14:textId="46D14D6E" w:rsidR="0070489B" w:rsidRPr="006A5772" w:rsidRDefault="00DE187F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Bardzo istotnym, nowym w dyrektywie wyzwaniem jest dążenie do neutralności energetycznej komunalnych oczyszczalni ścieków. Artykuł 11 nakłada obowiązek przeprowadzania audytów obejmujących </w:t>
      </w:r>
      <w:r w:rsidR="0070489B" w:rsidRPr="006A5772">
        <w:rPr>
          <w:rFonts w:cstheme="minorHAnsi"/>
        </w:rPr>
        <w:t xml:space="preserve">identyfikację potencjału wykorzystania lub produkcji energii odnawialnej, ze szczególnym uwzględnieniem biogazu, przy jednoczesnej redukcji emisji metanu. Pierwsze audyty </w:t>
      </w:r>
      <w:r w:rsidRPr="006A5772">
        <w:rPr>
          <w:rFonts w:cstheme="minorHAnsi"/>
        </w:rPr>
        <w:t>największych oczyszczalni powinno się przeprowadzić w 2025 roku, co jest, moim zdaniem, terminem</w:t>
      </w:r>
      <w:r w:rsidR="0070489B" w:rsidRPr="006A5772">
        <w:rPr>
          <w:rFonts w:cstheme="minorHAnsi"/>
        </w:rPr>
        <w:t xml:space="preserve"> </w:t>
      </w:r>
      <w:r w:rsidRPr="006A5772">
        <w:rPr>
          <w:rFonts w:cstheme="minorHAnsi"/>
        </w:rPr>
        <w:t xml:space="preserve">całkowicie nierealnym. </w:t>
      </w:r>
    </w:p>
    <w:p w14:paraId="193F7F65" w14:textId="6D54997A" w:rsidR="00967492" w:rsidRPr="006A5772" w:rsidRDefault="00124C06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Do 2040 roku oczyszczalnie powyżej 10 000 RLM powinny osiągnąć neutralność energetyczną </w:t>
      </w:r>
      <w:r w:rsidR="00CC3807">
        <w:rPr>
          <w:rFonts w:cstheme="minorHAnsi"/>
        </w:rPr>
        <w:t xml:space="preserve">rozumianą jako </w:t>
      </w:r>
      <w:r w:rsidRPr="006A5772">
        <w:rPr>
          <w:rFonts w:cstheme="minorHAnsi"/>
        </w:rPr>
        <w:t xml:space="preserve">zero energii ze źródeł konwencjonalnych. </w:t>
      </w:r>
    </w:p>
    <w:p w14:paraId="3D83B79C" w14:textId="5910FAF4" w:rsidR="00BE3F39" w:rsidRPr="006A5772" w:rsidRDefault="00124C06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Wiele uwagi poświęca się także zrzutom ścieków innych niż bytow</w:t>
      </w:r>
      <w:r w:rsidR="00CC3807">
        <w:rPr>
          <w:rFonts w:cstheme="minorHAnsi"/>
        </w:rPr>
        <w:t>e</w:t>
      </w:r>
      <w:r w:rsidRPr="006A5772">
        <w:rPr>
          <w:rFonts w:cstheme="minorHAnsi"/>
        </w:rPr>
        <w:t xml:space="preserve">. </w:t>
      </w:r>
      <w:r w:rsidR="00C07A0C" w:rsidRPr="006A5772">
        <w:rPr>
          <w:rFonts w:cstheme="minorHAnsi"/>
        </w:rPr>
        <w:t>Zgodnie z art. 14 w</w:t>
      </w:r>
      <w:r w:rsidR="00BE3F39" w:rsidRPr="006A5772">
        <w:rPr>
          <w:rFonts w:cstheme="minorHAnsi"/>
        </w:rPr>
        <w:t>łaściwy organ</w:t>
      </w:r>
      <w:r w:rsidRPr="006A5772">
        <w:rPr>
          <w:rFonts w:cstheme="minorHAnsi"/>
        </w:rPr>
        <w:t xml:space="preserve"> przed udzieleniem zezwolenia </w:t>
      </w:r>
      <w:r w:rsidR="00C07A0C" w:rsidRPr="006A5772">
        <w:rPr>
          <w:rFonts w:cstheme="minorHAnsi"/>
        </w:rPr>
        <w:t xml:space="preserve">na zrzut </w:t>
      </w:r>
      <w:r w:rsidRPr="006A5772">
        <w:rPr>
          <w:rFonts w:cstheme="minorHAnsi"/>
        </w:rPr>
        <w:t xml:space="preserve">będzie zobowiązany </w:t>
      </w:r>
      <w:r w:rsidR="00C07A0C" w:rsidRPr="006A5772">
        <w:rPr>
          <w:rFonts w:cstheme="minorHAnsi"/>
        </w:rPr>
        <w:t xml:space="preserve">przeprowadzić konsultacje z </w:t>
      </w:r>
      <w:r w:rsidR="00BE3F39" w:rsidRPr="006A5772">
        <w:rPr>
          <w:rFonts w:cstheme="minorHAnsi"/>
        </w:rPr>
        <w:t>operatorami systemów zbierania i oczyszczalni</w:t>
      </w:r>
      <w:r w:rsidR="00C07A0C" w:rsidRPr="006A5772">
        <w:rPr>
          <w:rFonts w:cstheme="minorHAnsi"/>
        </w:rPr>
        <w:t>a</w:t>
      </w:r>
      <w:r w:rsidR="00BE3F39" w:rsidRPr="006A5772">
        <w:rPr>
          <w:rFonts w:cstheme="minorHAnsi"/>
        </w:rPr>
        <w:t xml:space="preserve"> ścieków komunalnych, do których odprowadzane </w:t>
      </w:r>
      <w:r w:rsidR="00C07A0C" w:rsidRPr="006A5772">
        <w:rPr>
          <w:rFonts w:cstheme="minorHAnsi"/>
        </w:rPr>
        <w:t>będą</w:t>
      </w:r>
      <w:r w:rsidR="00BE3F39" w:rsidRPr="006A5772">
        <w:rPr>
          <w:rFonts w:cstheme="minorHAnsi"/>
        </w:rPr>
        <w:t xml:space="preserve"> ścieki inne niż bytowe</w:t>
      </w:r>
      <w:r w:rsidR="00C07A0C" w:rsidRPr="006A5772">
        <w:rPr>
          <w:rFonts w:cstheme="minorHAnsi"/>
        </w:rPr>
        <w:t>.</w:t>
      </w:r>
      <w:r w:rsidR="00BE3F39" w:rsidRPr="006A5772">
        <w:rPr>
          <w:rFonts w:cstheme="minorHAnsi"/>
        </w:rPr>
        <w:t xml:space="preserve"> </w:t>
      </w:r>
      <w:r w:rsidR="00C07A0C" w:rsidRPr="006A5772">
        <w:rPr>
          <w:rFonts w:cstheme="minorHAnsi"/>
        </w:rPr>
        <w:t>Inaczej traktuje się jedynie ścieki biodegradowalne, obejmujące aktywności, które objęte są już obecn</w:t>
      </w:r>
      <w:r w:rsidR="00CC3807">
        <w:rPr>
          <w:rFonts w:cstheme="minorHAnsi"/>
        </w:rPr>
        <w:t>ą</w:t>
      </w:r>
      <w:r w:rsidR="00C07A0C" w:rsidRPr="006A5772">
        <w:rPr>
          <w:rFonts w:cstheme="minorHAnsi"/>
        </w:rPr>
        <w:t xml:space="preserve"> dyrektywą (głównie przemysł spożywczy).</w:t>
      </w:r>
    </w:p>
    <w:p w14:paraId="5E6E2694" w14:textId="138C152F" w:rsidR="008F58E7" w:rsidRPr="006A5772" w:rsidRDefault="00C07A0C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Z kolei artykuł 15 zobowiązuje państwa członkowskie do popularyzowania</w:t>
      </w:r>
      <w:r w:rsidR="009D4CF2" w:rsidRPr="006A5772">
        <w:rPr>
          <w:rFonts w:cstheme="minorHAnsi"/>
        </w:rPr>
        <w:t xml:space="preserve"> </w:t>
      </w:r>
      <w:r w:rsidRPr="006A5772">
        <w:rPr>
          <w:rFonts w:cstheme="minorHAnsi"/>
        </w:rPr>
        <w:t xml:space="preserve">odzysku wody z </w:t>
      </w:r>
      <w:r w:rsidR="009D4CF2" w:rsidRPr="006A5772">
        <w:rPr>
          <w:rFonts w:cstheme="minorHAnsi"/>
        </w:rPr>
        <w:t xml:space="preserve">oczyszczonych ścieków komunalnych. </w:t>
      </w:r>
    </w:p>
    <w:p w14:paraId="2ECCAED7" w14:textId="5448B5E5" w:rsidR="008F58E7" w:rsidRPr="006A5772" w:rsidRDefault="00C07A0C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Nowa dyrektywa poszerza zakres monitorowania jakości ścieków. Zgodnie z artykułem 17 konieczne będzie weryfikowanie następujących </w:t>
      </w:r>
      <w:r w:rsidR="008F58E7" w:rsidRPr="006A5772">
        <w:rPr>
          <w:rFonts w:cstheme="minorHAnsi"/>
        </w:rPr>
        <w:t>parametrów dotyczących zdrowia publicznego:</w:t>
      </w:r>
    </w:p>
    <w:p w14:paraId="4FC003EA" w14:textId="7BDBF7A1" w:rsidR="008F58E7" w:rsidRPr="006A5772" w:rsidRDefault="008F58E7" w:rsidP="001B2E39">
      <w:pPr>
        <w:ind w:firstLine="708"/>
        <w:jc w:val="both"/>
        <w:rPr>
          <w:rFonts w:cstheme="minorHAnsi"/>
        </w:rPr>
      </w:pPr>
      <w:r w:rsidRPr="006A5772">
        <w:rPr>
          <w:rFonts w:cstheme="minorHAnsi"/>
        </w:rPr>
        <w:t xml:space="preserve">a) wirus SARS-CoV-2 i jego warianty; </w:t>
      </w:r>
    </w:p>
    <w:p w14:paraId="370B1F54" w14:textId="40B7DEC3" w:rsidR="008F58E7" w:rsidRPr="006A5772" w:rsidRDefault="008F58E7" w:rsidP="001B2E39">
      <w:pPr>
        <w:ind w:firstLine="708"/>
        <w:jc w:val="both"/>
        <w:rPr>
          <w:rFonts w:cstheme="minorHAnsi"/>
        </w:rPr>
      </w:pPr>
      <w:r w:rsidRPr="006A5772">
        <w:rPr>
          <w:rFonts w:cstheme="minorHAnsi"/>
        </w:rPr>
        <w:t xml:space="preserve">b) wirus polio; </w:t>
      </w:r>
    </w:p>
    <w:p w14:paraId="49E9AC78" w14:textId="68E9C1AB" w:rsidR="008F58E7" w:rsidRPr="006A5772" w:rsidRDefault="008F58E7" w:rsidP="001B2E39">
      <w:pPr>
        <w:ind w:firstLine="708"/>
        <w:jc w:val="both"/>
        <w:rPr>
          <w:rFonts w:cstheme="minorHAnsi"/>
        </w:rPr>
      </w:pPr>
      <w:r w:rsidRPr="006A5772">
        <w:rPr>
          <w:rFonts w:cstheme="minorHAnsi"/>
        </w:rPr>
        <w:t xml:space="preserve">c) wirus grypy; </w:t>
      </w:r>
    </w:p>
    <w:p w14:paraId="1CD383C6" w14:textId="398D291A" w:rsidR="008F58E7" w:rsidRPr="006A5772" w:rsidRDefault="008F58E7" w:rsidP="001B2E39">
      <w:pPr>
        <w:ind w:firstLine="708"/>
        <w:jc w:val="both"/>
        <w:rPr>
          <w:rFonts w:cstheme="minorHAnsi"/>
        </w:rPr>
      </w:pPr>
      <w:r w:rsidRPr="006A5772">
        <w:rPr>
          <w:rFonts w:cstheme="minorHAnsi"/>
        </w:rPr>
        <w:t xml:space="preserve">d) </w:t>
      </w:r>
      <w:r w:rsidR="00C07A0C" w:rsidRPr="006A5772">
        <w:rPr>
          <w:rFonts w:cstheme="minorHAnsi"/>
        </w:rPr>
        <w:t>nowo pojawiające</w:t>
      </w:r>
      <w:r w:rsidRPr="006A5772">
        <w:rPr>
          <w:rFonts w:cstheme="minorHAnsi"/>
        </w:rPr>
        <w:t xml:space="preserve"> się patogeny; </w:t>
      </w:r>
    </w:p>
    <w:p w14:paraId="22EC029C" w14:textId="77777777" w:rsidR="00845415" w:rsidRPr="006A5772" w:rsidRDefault="008F58E7" w:rsidP="001B2E39">
      <w:pPr>
        <w:ind w:firstLine="708"/>
        <w:jc w:val="both"/>
        <w:rPr>
          <w:rFonts w:cstheme="minorHAnsi"/>
        </w:rPr>
      </w:pPr>
      <w:r w:rsidRPr="006A5772">
        <w:rPr>
          <w:rFonts w:cstheme="minorHAnsi"/>
        </w:rPr>
        <w:t xml:space="preserve">e) zanieczyszczenia </w:t>
      </w:r>
      <w:r w:rsidR="00845415" w:rsidRPr="006A5772">
        <w:rPr>
          <w:rFonts w:cstheme="minorHAnsi"/>
        </w:rPr>
        <w:t>wz</w:t>
      </w:r>
      <w:r w:rsidRPr="006A5772">
        <w:rPr>
          <w:rFonts w:cstheme="minorHAnsi"/>
        </w:rPr>
        <w:t>budz</w:t>
      </w:r>
      <w:r w:rsidR="00845415" w:rsidRPr="006A5772">
        <w:rPr>
          <w:rFonts w:cstheme="minorHAnsi"/>
        </w:rPr>
        <w:t>aj</w:t>
      </w:r>
      <w:r w:rsidRPr="006A5772">
        <w:rPr>
          <w:rFonts w:cstheme="minorHAnsi"/>
        </w:rPr>
        <w:t xml:space="preserve">ące </w:t>
      </w:r>
      <w:r w:rsidR="00845415" w:rsidRPr="006A5772">
        <w:rPr>
          <w:rFonts w:cstheme="minorHAnsi"/>
        </w:rPr>
        <w:t>szczególny niepokój</w:t>
      </w:r>
      <w:r w:rsidRPr="006A5772">
        <w:rPr>
          <w:rFonts w:cstheme="minorHAnsi"/>
        </w:rPr>
        <w:t xml:space="preserve">; </w:t>
      </w:r>
    </w:p>
    <w:p w14:paraId="60E02613" w14:textId="532CF2C9" w:rsidR="008F58E7" w:rsidRPr="006A5772" w:rsidRDefault="008F58E7" w:rsidP="001B2E39">
      <w:pPr>
        <w:ind w:firstLine="708"/>
        <w:jc w:val="both"/>
        <w:rPr>
          <w:rFonts w:cstheme="minorHAnsi"/>
        </w:rPr>
      </w:pPr>
      <w:r w:rsidRPr="006A5772">
        <w:rPr>
          <w:rFonts w:cstheme="minorHAnsi"/>
        </w:rPr>
        <w:t>f) wszelkie inne parametry dotyczące zdrowia publicznego, które właściwe organy państw członkowskich uznają za istotne do celów monitorowania.</w:t>
      </w:r>
    </w:p>
    <w:p w14:paraId="5B5BB01C" w14:textId="05FF5B15" w:rsidR="00845415" w:rsidRPr="006A5772" w:rsidRDefault="00D4662C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Istotnym wyzwaniem jest także konieczność monitorowania </w:t>
      </w:r>
      <w:r w:rsidR="00845415" w:rsidRPr="006A5772">
        <w:rPr>
          <w:rFonts w:cstheme="minorHAnsi"/>
        </w:rPr>
        <w:t xml:space="preserve">oporności na środki przeciwdrobnoustrojowe co najmniej dwa razy w roku na wlotach i wylotach oczyszczalni ścieków komunalnych oraz, w stosownych przypadkach, w systemach zbierania. </w:t>
      </w:r>
    </w:p>
    <w:p w14:paraId="627E7719" w14:textId="556797A5" w:rsidR="002957F7" w:rsidRPr="006A5772" w:rsidRDefault="00F90B1F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Podobnie jak nowa dyrektywa w sprawie wody do picia, propozycja Komisji dotycząca gospodarki ściekowej zawiera obowiązek zarządzania ryzykiem. Artykuł 18 wprowadza konieczność </w:t>
      </w:r>
      <w:r w:rsidR="002957F7" w:rsidRPr="006A5772">
        <w:rPr>
          <w:rFonts w:cstheme="minorHAnsi"/>
        </w:rPr>
        <w:t>identyfik</w:t>
      </w:r>
      <w:r w:rsidRPr="006A5772">
        <w:rPr>
          <w:rFonts w:cstheme="minorHAnsi"/>
        </w:rPr>
        <w:t>acji</w:t>
      </w:r>
      <w:r w:rsidR="002957F7" w:rsidRPr="006A5772">
        <w:rPr>
          <w:rFonts w:cstheme="minorHAnsi"/>
        </w:rPr>
        <w:t xml:space="preserve"> zagroże</w:t>
      </w:r>
      <w:r w:rsidRPr="006A5772">
        <w:rPr>
          <w:rFonts w:cstheme="minorHAnsi"/>
        </w:rPr>
        <w:t>ń</w:t>
      </w:r>
      <w:r w:rsidR="002957F7" w:rsidRPr="006A5772">
        <w:rPr>
          <w:rFonts w:cstheme="minorHAnsi"/>
        </w:rPr>
        <w:t xml:space="preserve"> dla środowiska i zdrowia ludzkiego powodowan</w:t>
      </w:r>
      <w:r w:rsidRPr="006A5772">
        <w:rPr>
          <w:rFonts w:cstheme="minorHAnsi"/>
        </w:rPr>
        <w:t>ych</w:t>
      </w:r>
      <w:r w:rsidR="002957F7" w:rsidRPr="006A5772">
        <w:rPr>
          <w:rFonts w:cstheme="minorHAnsi"/>
        </w:rPr>
        <w:t xml:space="preserve"> przez zrzuty ścieków komunalnych</w:t>
      </w:r>
      <w:r w:rsidRPr="006A5772">
        <w:rPr>
          <w:rFonts w:cstheme="minorHAnsi"/>
        </w:rPr>
        <w:t xml:space="preserve">, szczególnie w obszarach </w:t>
      </w:r>
      <w:r w:rsidR="002957F7" w:rsidRPr="006A5772">
        <w:rPr>
          <w:rFonts w:cstheme="minorHAnsi"/>
        </w:rPr>
        <w:t>części wód wykorzystywan</w:t>
      </w:r>
      <w:r w:rsidRPr="006A5772">
        <w:rPr>
          <w:rFonts w:cstheme="minorHAnsi"/>
        </w:rPr>
        <w:t>ych</w:t>
      </w:r>
      <w:r w:rsidR="002957F7" w:rsidRPr="006A5772">
        <w:rPr>
          <w:rFonts w:cstheme="minorHAnsi"/>
        </w:rPr>
        <w:t xml:space="preserve"> do poboru wody przeznaczonej do spożycia przez ludzi</w:t>
      </w:r>
      <w:r w:rsidRPr="006A5772">
        <w:rPr>
          <w:rFonts w:cstheme="minorHAnsi"/>
        </w:rPr>
        <w:t>, wód kąpieliskowych, wybranych jednolitych części wód objętych ramową dyrektywą wodną (</w:t>
      </w:r>
      <w:r w:rsidR="002957F7" w:rsidRPr="006A5772">
        <w:rPr>
          <w:rFonts w:cstheme="minorHAnsi"/>
        </w:rPr>
        <w:t>2000/60/WE</w:t>
      </w:r>
      <w:r w:rsidRPr="006A5772">
        <w:rPr>
          <w:rFonts w:cstheme="minorHAnsi"/>
        </w:rPr>
        <w:t xml:space="preserve">), wód wykorzystywanych w akwakulturze. Wówczas konieczne być może ustanowienie systemów zbierania </w:t>
      </w:r>
      <w:r w:rsidR="00CC3807">
        <w:rPr>
          <w:rFonts w:cstheme="minorHAnsi"/>
        </w:rPr>
        <w:t xml:space="preserve">nawet </w:t>
      </w:r>
      <w:r w:rsidRPr="006A5772">
        <w:rPr>
          <w:rFonts w:cstheme="minorHAnsi"/>
        </w:rPr>
        <w:t>dla aglomeracji poniżej 1</w:t>
      </w:r>
      <w:r w:rsidR="00CC3807">
        <w:rPr>
          <w:rFonts w:cstheme="minorHAnsi"/>
        </w:rPr>
        <w:t xml:space="preserve"> </w:t>
      </w:r>
      <w:r w:rsidRPr="006A5772">
        <w:rPr>
          <w:rFonts w:cstheme="minorHAnsi"/>
        </w:rPr>
        <w:t>000 RLM lub ustanowienie bardziej rygorystycznych wymogów oczyszczania.</w:t>
      </w:r>
    </w:p>
    <w:p w14:paraId="192273B3" w14:textId="2E5C4E23" w:rsidR="003E52E4" w:rsidRPr="006A5772" w:rsidRDefault="00F90B1F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Również artykuł 19 wzoruje się na dyrektywie w sprawie wody do picia. Wprowadza on bowiem obowiązek poprawy </w:t>
      </w:r>
      <w:r w:rsidR="003E52E4" w:rsidRPr="006A5772">
        <w:rPr>
          <w:rFonts w:cstheme="minorHAnsi"/>
        </w:rPr>
        <w:t xml:space="preserve">dostępu do urządzeń sanitarnych dla wszystkich, w szczególności dla grup szczególnie wrażliwych i zmarginalizowanych. </w:t>
      </w:r>
    </w:p>
    <w:p w14:paraId="571CC408" w14:textId="5E8D74C7" w:rsidR="008D695C" w:rsidRPr="006A5772" w:rsidRDefault="008D695C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Dyrektywa podkreśla istotność współpracy międzynarodowej oraz uważności w kontekście lokalnych warunków klimatycznych. Podkreśla wagę informowania społeczeństwa i właściwego monitoringu wdrażania. </w:t>
      </w:r>
      <w:r w:rsidR="00D51211" w:rsidRPr="006A5772">
        <w:rPr>
          <w:rFonts w:cstheme="minorHAnsi"/>
        </w:rPr>
        <w:t xml:space="preserve">Załącznik 6 zawiera opis informacji jakie powinno się </w:t>
      </w:r>
      <w:r w:rsidR="00D51211" w:rsidRPr="006A5772">
        <w:rPr>
          <w:rFonts w:cstheme="minorHAnsi"/>
        </w:rPr>
        <w:lastRenderedPageBreak/>
        <w:t>przekazywać opinii społecznej. Dotyczą one kwestii ilościowych i jakościowych, ale także kosztów, planów inwestycyjnych, skarg, a także ton ekwiwalentu CO</w:t>
      </w:r>
      <w:r w:rsidR="00D51211" w:rsidRPr="006A5772">
        <w:rPr>
          <w:rFonts w:cstheme="minorHAnsi"/>
          <w:vertAlign w:val="subscript"/>
        </w:rPr>
        <w:t>2</w:t>
      </w:r>
      <w:r w:rsidR="00D51211" w:rsidRPr="006A5772">
        <w:rPr>
          <w:rFonts w:cstheme="minorHAnsi"/>
        </w:rPr>
        <w:t xml:space="preserve"> wyprodukowanego lub unikniętego rocznie w wyniku eksploatacji oczyszczalni ścieków komunalnych.</w:t>
      </w:r>
    </w:p>
    <w:p w14:paraId="3829E8FE" w14:textId="3C5A353B" w:rsidR="004256D1" w:rsidRPr="006A5772" w:rsidRDefault="004256D1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>Minimalną roczną liczbę próbek określa się w zależności od wielkości oczyszczalni i pobiera się je w regularnych odstępach czasu w ciągu roku. Wymogi podstawowego monitoringu obejmują parametry takie jak BZT</w:t>
      </w:r>
      <w:r w:rsidRPr="006A5772">
        <w:rPr>
          <w:rFonts w:cstheme="minorHAnsi"/>
          <w:vertAlign w:val="subscript"/>
        </w:rPr>
        <w:t>5</w:t>
      </w:r>
      <w:r w:rsidRPr="006A5772">
        <w:rPr>
          <w:rFonts w:cstheme="minorHAnsi"/>
        </w:rPr>
        <w:t xml:space="preserve">, </w:t>
      </w:r>
      <w:proofErr w:type="spellStart"/>
      <w:r w:rsidRPr="006A5772">
        <w:rPr>
          <w:rFonts w:cstheme="minorHAnsi"/>
        </w:rPr>
        <w:t>ChZT</w:t>
      </w:r>
      <w:proofErr w:type="spellEnd"/>
      <w:r w:rsidRPr="006A5772">
        <w:rPr>
          <w:rFonts w:cstheme="minorHAnsi"/>
        </w:rPr>
        <w:t>, zawiesina ogólna, ale także Ogólny Węgiel Organiczny. Istotną różnicą jest brak podziału oczyszczalni w zależności od ich wielkości. Wszystkie oczyszczalnie obsługujące powyżej 1</w:t>
      </w:r>
      <w:r w:rsidR="00CC3807">
        <w:rPr>
          <w:rFonts w:cstheme="minorHAnsi"/>
        </w:rPr>
        <w:t> </w:t>
      </w:r>
      <w:r w:rsidRPr="006A5772">
        <w:rPr>
          <w:rFonts w:cstheme="minorHAnsi"/>
        </w:rPr>
        <w:t>000 RLM muszą wybrać między docelowym stężeniem a procentem redukcji wynikając</w:t>
      </w:r>
      <w:r w:rsidR="00CC3807">
        <w:rPr>
          <w:rFonts w:cstheme="minorHAnsi"/>
        </w:rPr>
        <w:t>ym</w:t>
      </w:r>
      <w:r w:rsidRPr="006A5772">
        <w:rPr>
          <w:rFonts w:cstheme="minorHAnsi"/>
        </w:rPr>
        <w:t xml:space="preserve"> z oczyszczania wtórnego, według poniższej tabeli.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97"/>
        <w:gridCol w:w="1812"/>
        <w:gridCol w:w="1812"/>
        <w:gridCol w:w="3546"/>
      </w:tblGrid>
      <w:tr w:rsidR="004256D1" w:rsidRPr="006A5772" w14:paraId="6268E97D" w14:textId="77777777" w:rsidTr="00EA777B">
        <w:tc>
          <w:tcPr>
            <w:tcW w:w="9067" w:type="dxa"/>
            <w:gridSpan w:val="4"/>
          </w:tcPr>
          <w:p w14:paraId="018B91E7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Tabela 1: Wymogi dotyczące zrzutów z oczyszczalni ścieków komunalnych podlegających art. 6 dyrektywy. Stosuje się wartości stężenia lub procentowej redukcji.</w:t>
            </w:r>
          </w:p>
        </w:tc>
      </w:tr>
      <w:tr w:rsidR="004256D1" w:rsidRPr="006A5772" w14:paraId="20771287" w14:textId="77777777" w:rsidTr="00EA777B">
        <w:tc>
          <w:tcPr>
            <w:tcW w:w="1897" w:type="dxa"/>
          </w:tcPr>
          <w:p w14:paraId="6DD23E72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Parametry</w:t>
            </w:r>
          </w:p>
        </w:tc>
        <w:tc>
          <w:tcPr>
            <w:tcW w:w="1812" w:type="dxa"/>
          </w:tcPr>
          <w:p w14:paraId="35B27F25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Stężenie</w:t>
            </w:r>
          </w:p>
        </w:tc>
        <w:tc>
          <w:tcPr>
            <w:tcW w:w="1812" w:type="dxa"/>
          </w:tcPr>
          <w:p w14:paraId="1BC47F4B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Najniższy procent redukcji</w:t>
            </w:r>
            <w:r w:rsidRPr="006A5772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3546" w:type="dxa"/>
          </w:tcPr>
          <w:p w14:paraId="5C541359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Metoda referencyjna pomiaru</w:t>
            </w:r>
          </w:p>
        </w:tc>
      </w:tr>
      <w:tr w:rsidR="004256D1" w:rsidRPr="006A5772" w14:paraId="380FC6C9" w14:textId="77777777" w:rsidTr="00EA777B">
        <w:tc>
          <w:tcPr>
            <w:tcW w:w="1897" w:type="dxa"/>
          </w:tcPr>
          <w:p w14:paraId="130E8CAD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Biochemiczne zapotrzebowanie na tlen (BZT</w:t>
            </w:r>
            <w:r w:rsidRPr="006A5772">
              <w:rPr>
                <w:rFonts w:cstheme="minorHAnsi"/>
                <w:vertAlign w:val="subscript"/>
              </w:rPr>
              <w:t>5</w:t>
            </w:r>
            <w:r w:rsidRPr="006A5772">
              <w:rPr>
                <w:rFonts w:cstheme="minorHAnsi"/>
              </w:rPr>
              <w:t xml:space="preserve"> w 20</w:t>
            </w:r>
            <w:r w:rsidRPr="006A5772">
              <w:rPr>
                <w:rFonts w:cstheme="minorHAnsi"/>
              </w:rPr>
              <w:sym w:font="Symbol" w:char="F0B0"/>
            </w:r>
            <w:r w:rsidRPr="006A5772">
              <w:rPr>
                <w:rFonts w:cstheme="minorHAnsi"/>
              </w:rPr>
              <w:t xml:space="preserve">C) bez nitryfikacji (patrz uwaga 1) </w:t>
            </w:r>
          </w:p>
        </w:tc>
        <w:tc>
          <w:tcPr>
            <w:tcW w:w="1812" w:type="dxa"/>
          </w:tcPr>
          <w:p w14:paraId="30379533" w14:textId="77777777" w:rsidR="004256D1" w:rsidRPr="006A5772" w:rsidRDefault="004256D1" w:rsidP="001B2E3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A5772">
              <w:rPr>
                <w:rFonts w:asciiTheme="minorHAnsi" w:hAnsiTheme="minorHAnsi" w:cstheme="minorHAnsi"/>
                <w:sz w:val="23"/>
                <w:szCs w:val="23"/>
              </w:rPr>
              <w:t>25 mg/l O</w:t>
            </w:r>
            <w:r w:rsidRPr="006A5772">
              <w:rPr>
                <w:rFonts w:asciiTheme="minorHAnsi" w:hAnsiTheme="minorHAnsi" w:cstheme="minorHAnsi"/>
                <w:sz w:val="23"/>
                <w:szCs w:val="23"/>
                <w:vertAlign w:val="subscript"/>
              </w:rPr>
              <w:t>2</w:t>
            </w:r>
            <w:r w:rsidRPr="006A577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5F63A2E3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0C6CC4BF" w14:textId="77777777" w:rsidR="004256D1" w:rsidRPr="006A5772" w:rsidRDefault="004256D1" w:rsidP="001B2E3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A5772">
              <w:rPr>
                <w:rFonts w:asciiTheme="minorHAnsi" w:hAnsiTheme="minorHAnsi" w:cstheme="minorHAnsi"/>
                <w:sz w:val="23"/>
                <w:szCs w:val="23"/>
              </w:rPr>
              <w:t xml:space="preserve">70-90 </w:t>
            </w:r>
          </w:p>
          <w:p w14:paraId="43C4848A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  <w:sz w:val="23"/>
                <w:szCs w:val="23"/>
              </w:rPr>
              <w:t xml:space="preserve">40 na podstawie art. 4 ust.2 </w:t>
            </w:r>
          </w:p>
        </w:tc>
        <w:tc>
          <w:tcPr>
            <w:tcW w:w="3546" w:type="dxa"/>
          </w:tcPr>
          <w:p w14:paraId="651D81F7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Homogenizowana, niefiltrowana, niedekantowana próba. Oznaczanie rozpuszczonego tlenu przed i po pięciodniowej inkubacji w temperaturze 20 °C ± 1 °C, w całkowitej ciemności. Dodatek inhibitora nitryfikacji</w:t>
            </w:r>
          </w:p>
        </w:tc>
      </w:tr>
      <w:tr w:rsidR="004256D1" w:rsidRPr="006A5772" w14:paraId="1108F96D" w14:textId="77777777" w:rsidTr="00EA777B">
        <w:tc>
          <w:tcPr>
            <w:tcW w:w="1897" w:type="dxa"/>
          </w:tcPr>
          <w:p w14:paraId="5049CFA1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Chemiczne zapotrzebowanie na tlen (</w:t>
            </w:r>
            <w:proofErr w:type="spellStart"/>
            <w:r w:rsidRPr="006A5772">
              <w:rPr>
                <w:rFonts w:cstheme="minorHAnsi"/>
              </w:rPr>
              <w:t>ChZT</w:t>
            </w:r>
            <w:proofErr w:type="spellEnd"/>
            <w:r w:rsidRPr="006A5772">
              <w:rPr>
                <w:rFonts w:cstheme="minorHAnsi"/>
              </w:rPr>
              <w:t xml:space="preserve">) </w:t>
            </w:r>
          </w:p>
        </w:tc>
        <w:tc>
          <w:tcPr>
            <w:tcW w:w="1812" w:type="dxa"/>
          </w:tcPr>
          <w:p w14:paraId="3AAF3FAF" w14:textId="77777777" w:rsidR="004256D1" w:rsidRPr="006A5772" w:rsidRDefault="004256D1" w:rsidP="001B2E39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A5772">
              <w:rPr>
                <w:rFonts w:asciiTheme="minorHAnsi" w:hAnsiTheme="minorHAnsi" w:cstheme="minorHAnsi"/>
                <w:sz w:val="23"/>
                <w:szCs w:val="23"/>
              </w:rPr>
              <w:t>125 mg/l O</w:t>
            </w:r>
            <w:r w:rsidRPr="006A5772">
              <w:rPr>
                <w:rFonts w:asciiTheme="minorHAnsi" w:hAnsiTheme="minorHAnsi" w:cstheme="minorHAnsi"/>
                <w:sz w:val="23"/>
                <w:szCs w:val="23"/>
                <w:vertAlign w:val="subscript"/>
              </w:rPr>
              <w:t>2</w:t>
            </w:r>
            <w:r w:rsidRPr="006A5772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702B0180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CE57F0A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75</w:t>
            </w:r>
          </w:p>
        </w:tc>
        <w:tc>
          <w:tcPr>
            <w:tcW w:w="3546" w:type="dxa"/>
          </w:tcPr>
          <w:p w14:paraId="4B478011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homogenizowana, nieprzefiltrowana, niedekantowana próbka. Dwuchromian potasu</w:t>
            </w:r>
          </w:p>
        </w:tc>
      </w:tr>
      <w:tr w:rsidR="004256D1" w:rsidRPr="006A5772" w14:paraId="45B1877A" w14:textId="77777777" w:rsidTr="00EA777B">
        <w:tc>
          <w:tcPr>
            <w:tcW w:w="1897" w:type="dxa"/>
          </w:tcPr>
          <w:p w14:paraId="205577A2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Ogólny węgiel organiczny (OWO) (patrz uwaga 2)</w:t>
            </w:r>
          </w:p>
        </w:tc>
        <w:tc>
          <w:tcPr>
            <w:tcW w:w="1812" w:type="dxa"/>
          </w:tcPr>
          <w:p w14:paraId="09DB3BB3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 xml:space="preserve">37 mg/l </w:t>
            </w:r>
          </w:p>
        </w:tc>
        <w:tc>
          <w:tcPr>
            <w:tcW w:w="1812" w:type="dxa"/>
          </w:tcPr>
          <w:p w14:paraId="3A8DFE32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75</w:t>
            </w:r>
          </w:p>
        </w:tc>
        <w:tc>
          <w:tcPr>
            <w:tcW w:w="3546" w:type="dxa"/>
          </w:tcPr>
          <w:p w14:paraId="745D9888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EN 1484</w:t>
            </w:r>
          </w:p>
        </w:tc>
      </w:tr>
      <w:tr w:rsidR="004256D1" w:rsidRPr="006A5772" w14:paraId="302C33F8" w14:textId="77777777" w:rsidTr="00EA777B">
        <w:tc>
          <w:tcPr>
            <w:tcW w:w="1897" w:type="dxa"/>
          </w:tcPr>
          <w:p w14:paraId="46A726B7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Zawiesina ogólna</w:t>
            </w:r>
          </w:p>
        </w:tc>
        <w:tc>
          <w:tcPr>
            <w:tcW w:w="1812" w:type="dxa"/>
          </w:tcPr>
          <w:p w14:paraId="15851AB1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35 mg/l (patrz uwaga 3)</w:t>
            </w:r>
          </w:p>
        </w:tc>
        <w:tc>
          <w:tcPr>
            <w:tcW w:w="1812" w:type="dxa"/>
          </w:tcPr>
          <w:p w14:paraId="2E5DB478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90 (patrz uwaga 3)</w:t>
            </w:r>
          </w:p>
        </w:tc>
        <w:tc>
          <w:tcPr>
            <w:tcW w:w="3546" w:type="dxa"/>
          </w:tcPr>
          <w:p w14:paraId="5BE133F6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 xml:space="preserve">- Filtrowanie reprezentatywnej próbki przez 0,45 </w:t>
            </w:r>
            <w:r w:rsidRPr="006A5772">
              <w:rPr>
                <w:rFonts w:cstheme="minorHAnsi"/>
              </w:rPr>
              <w:sym w:font="Symbol" w:char="F06D"/>
            </w:r>
            <w:r w:rsidRPr="006A5772">
              <w:rPr>
                <w:rFonts w:cstheme="minorHAnsi"/>
              </w:rPr>
              <w:t xml:space="preserve">m sączek membranowy. </w:t>
            </w:r>
          </w:p>
          <w:p w14:paraId="6993526F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 xml:space="preserve">Suszenie w 105°C i ważenie. </w:t>
            </w:r>
          </w:p>
          <w:p w14:paraId="53CE6602" w14:textId="77777777" w:rsidR="004256D1" w:rsidRPr="006A5772" w:rsidRDefault="004256D1" w:rsidP="001B2E39">
            <w:pPr>
              <w:jc w:val="both"/>
              <w:rPr>
                <w:rFonts w:cstheme="minorHAnsi"/>
              </w:rPr>
            </w:pPr>
            <w:r w:rsidRPr="006A5772">
              <w:rPr>
                <w:rFonts w:cstheme="minorHAnsi"/>
              </w:rPr>
              <w:t>- Wirowanie reprezentatywnej próbki (przez co najmniej 5 min. ze średnim przyspieszeniem 2 800 do 3 200 g). Suszenie w 105°C i ważenie.</w:t>
            </w:r>
          </w:p>
        </w:tc>
      </w:tr>
    </w:tbl>
    <w:p w14:paraId="541E2531" w14:textId="77777777" w:rsidR="004256D1" w:rsidRPr="006A5772" w:rsidRDefault="004256D1" w:rsidP="001B2E39">
      <w:pPr>
        <w:jc w:val="both"/>
        <w:rPr>
          <w:rFonts w:cstheme="minorHAnsi"/>
          <w:sz w:val="20"/>
          <w:szCs w:val="20"/>
        </w:rPr>
      </w:pPr>
      <w:r w:rsidRPr="006A5772">
        <w:rPr>
          <w:rFonts w:cstheme="minorHAnsi"/>
          <w:sz w:val="20"/>
          <w:szCs w:val="20"/>
        </w:rPr>
        <w:t>Uwaga 1: Parametr można zastąpić innym parametrem: ogólnym węglem organicznym (OWO) lub ogólnym zapotrzebowaniem na tlen (OZT), jeżeli można ustalić związek między BZT</w:t>
      </w:r>
      <w:r w:rsidRPr="006A5772">
        <w:rPr>
          <w:rFonts w:cstheme="minorHAnsi"/>
          <w:sz w:val="20"/>
          <w:szCs w:val="20"/>
          <w:vertAlign w:val="subscript"/>
        </w:rPr>
        <w:t>5</w:t>
      </w:r>
      <w:r w:rsidRPr="006A5772">
        <w:rPr>
          <w:rFonts w:cstheme="minorHAnsi"/>
          <w:sz w:val="20"/>
          <w:szCs w:val="20"/>
        </w:rPr>
        <w:t xml:space="preserve"> a parametrem zastępczym. </w:t>
      </w:r>
    </w:p>
    <w:p w14:paraId="2385A3B1" w14:textId="77777777" w:rsidR="004256D1" w:rsidRPr="006A5772" w:rsidRDefault="004256D1" w:rsidP="001B2E39">
      <w:pPr>
        <w:jc w:val="both"/>
        <w:rPr>
          <w:rFonts w:cstheme="minorHAnsi"/>
          <w:sz w:val="20"/>
          <w:szCs w:val="20"/>
        </w:rPr>
      </w:pPr>
      <w:r w:rsidRPr="006A5772">
        <w:rPr>
          <w:rFonts w:cstheme="minorHAnsi"/>
          <w:sz w:val="20"/>
          <w:szCs w:val="20"/>
        </w:rPr>
        <w:t>Uwaga 2: Państwa członkowskie dokonują pomiaru chemicznego zapotrzebowania na tlen (</w:t>
      </w:r>
      <w:proofErr w:type="spellStart"/>
      <w:r w:rsidRPr="006A5772">
        <w:rPr>
          <w:rFonts w:cstheme="minorHAnsi"/>
          <w:sz w:val="20"/>
          <w:szCs w:val="20"/>
        </w:rPr>
        <w:t>ChZT</w:t>
      </w:r>
      <w:proofErr w:type="spellEnd"/>
      <w:r w:rsidRPr="006A5772">
        <w:rPr>
          <w:rFonts w:cstheme="minorHAnsi"/>
          <w:sz w:val="20"/>
          <w:szCs w:val="20"/>
        </w:rPr>
        <w:t xml:space="preserve">) lub ogólnego węgla organicznego. </w:t>
      </w:r>
    </w:p>
    <w:p w14:paraId="58E57D70" w14:textId="77777777" w:rsidR="004256D1" w:rsidRPr="006A5772" w:rsidRDefault="004256D1" w:rsidP="001B2E39">
      <w:pPr>
        <w:jc w:val="both"/>
        <w:rPr>
          <w:rFonts w:cstheme="minorHAnsi"/>
          <w:sz w:val="20"/>
          <w:szCs w:val="20"/>
        </w:rPr>
      </w:pPr>
      <w:r w:rsidRPr="006A5772">
        <w:rPr>
          <w:rFonts w:cstheme="minorHAnsi"/>
          <w:sz w:val="20"/>
          <w:szCs w:val="20"/>
        </w:rPr>
        <w:t>Uwaga 3: To wymaganie jest fakultatywne.</w:t>
      </w:r>
    </w:p>
    <w:p w14:paraId="44801AA9" w14:textId="77777777" w:rsidR="004256D1" w:rsidRPr="006A5772" w:rsidRDefault="004256D1" w:rsidP="001B2E39">
      <w:pPr>
        <w:jc w:val="both"/>
        <w:rPr>
          <w:rFonts w:cstheme="minorHAnsi"/>
        </w:rPr>
      </w:pPr>
    </w:p>
    <w:p w14:paraId="451390FF" w14:textId="1AAE6367" w:rsidR="00124C06" w:rsidRPr="006A5772" w:rsidRDefault="00124C06" w:rsidP="001B2E39">
      <w:pPr>
        <w:jc w:val="both"/>
        <w:rPr>
          <w:rFonts w:cstheme="minorHAnsi"/>
        </w:rPr>
      </w:pPr>
    </w:p>
    <w:p w14:paraId="2F2814F3" w14:textId="7E645E8A" w:rsidR="00124C06" w:rsidRDefault="004256D1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lastRenderedPageBreak/>
        <w:t xml:space="preserve">Z kolei dla biogenów i oczyszczania trzeciego stopnia stosuje się stężenie docelowe lub procent redukcji dla azotu ogólnego </w:t>
      </w:r>
      <w:r w:rsidR="00CC3807">
        <w:rPr>
          <w:rFonts w:cstheme="minorHAnsi"/>
        </w:rPr>
        <w:t xml:space="preserve">wynoszące odpowiednio </w:t>
      </w:r>
      <w:r w:rsidRPr="006A5772">
        <w:rPr>
          <w:rFonts w:cstheme="minorHAnsi"/>
        </w:rPr>
        <w:t xml:space="preserve">6 mg/l lub 85% oraz dla fosforu ogólnego 0,5 mg/l lub 90% redukcji. Dla czwartego stopnia oczyszczania stosuje się osiemdziesięcioprocentową </w:t>
      </w:r>
      <w:r w:rsidR="00D51211" w:rsidRPr="006A5772">
        <w:rPr>
          <w:rFonts w:cstheme="minorHAnsi"/>
        </w:rPr>
        <w:t>redukcję mikrozanieczyszczeń</w:t>
      </w:r>
      <w:r w:rsidRPr="006A5772">
        <w:rPr>
          <w:rFonts w:cstheme="minorHAnsi"/>
        </w:rPr>
        <w:t>.</w:t>
      </w:r>
    </w:p>
    <w:p w14:paraId="6B8BCD24" w14:textId="77777777" w:rsidR="00CC3807" w:rsidRPr="006A5772" w:rsidRDefault="00CC3807" w:rsidP="001B2E39">
      <w:pPr>
        <w:jc w:val="both"/>
        <w:rPr>
          <w:rFonts w:cstheme="minorHAnsi"/>
        </w:rPr>
      </w:pPr>
    </w:p>
    <w:p w14:paraId="10E11A3F" w14:textId="5B2E4C5C" w:rsidR="001B2E39" w:rsidRPr="006A5772" w:rsidRDefault="006A5772" w:rsidP="001B2E39">
      <w:pPr>
        <w:jc w:val="both"/>
        <w:rPr>
          <w:rFonts w:cstheme="minorHAnsi"/>
        </w:rPr>
      </w:pPr>
      <w:r w:rsidRPr="006A5772">
        <w:rPr>
          <w:rFonts w:cstheme="minorHAnsi"/>
        </w:rPr>
        <w:t xml:space="preserve">Opisany tekst </w:t>
      </w:r>
      <w:r w:rsidR="00CC3807">
        <w:rPr>
          <w:rFonts w:cstheme="minorHAnsi"/>
        </w:rPr>
        <w:t xml:space="preserve">dyrektywy </w:t>
      </w:r>
      <w:r w:rsidRPr="006A5772">
        <w:rPr>
          <w:rFonts w:cstheme="minorHAnsi"/>
        </w:rPr>
        <w:t xml:space="preserve">jest oparty </w:t>
      </w:r>
      <w:r w:rsidR="00CC3807">
        <w:rPr>
          <w:rFonts w:cstheme="minorHAnsi"/>
        </w:rPr>
        <w:t>na</w:t>
      </w:r>
      <w:r w:rsidR="00CC3807" w:rsidRPr="006A5772">
        <w:rPr>
          <w:rFonts w:cstheme="minorHAnsi"/>
        </w:rPr>
        <w:t xml:space="preserve"> robocz</w:t>
      </w:r>
      <w:r w:rsidR="00CC3807">
        <w:rPr>
          <w:rFonts w:cstheme="minorHAnsi"/>
        </w:rPr>
        <w:t>ym</w:t>
      </w:r>
      <w:r w:rsidR="00CC3807" w:rsidRPr="006A5772">
        <w:rPr>
          <w:rFonts w:cstheme="minorHAnsi"/>
        </w:rPr>
        <w:t xml:space="preserve"> tłumaczeni</w:t>
      </w:r>
      <w:r w:rsidR="00CC3807">
        <w:rPr>
          <w:rFonts w:cstheme="minorHAnsi"/>
        </w:rPr>
        <w:t>u</w:t>
      </w:r>
      <w:r w:rsidR="00CC3807" w:rsidRPr="006A5772">
        <w:rPr>
          <w:rFonts w:cstheme="minorHAnsi"/>
        </w:rPr>
        <w:t xml:space="preserve"> Izby</w:t>
      </w:r>
      <w:r w:rsidR="00CC3807">
        <w:rPr>
          <w:rFonts w:cstheme="minorHAnsi"/>
        </w:rPr>
        <w:t>, która jest gotowa do debaty na temat tego istotnego dla branży aktu prawnego</w:t>
      </w:r>
      <w:r w:rsidRPr="006A5772">
        <w:rPr>
          <w:rFonts w:cstheme="minorHAnsi"/>
        </w:rPr>
        <w:t xml:space="preserve">. </w:t>
      </w:r>
      <w:r w:rsidR="00CC3807" w:rsidRPr="006A5772">
        <w:rPr>
          <w:rFonts w:cstheme="minorHAnsi"/>
        </w:rPr>
        <w:t xml:space="preserve">Dzięki aktywności IGWP w </w:t>
      </w:r>
      <w:proofErr w:type="spellStart"/>
      <w:r w:rsidR="00CC3807" w:rsidRPr="006A5772">
        <w:rPr>
          <w:rFonts w:cstheme="minorHAnsi"/>
        </w:rPr>
        <w:t>EurEau</w:t>
      </w:r>
      <w:proofErr w:type="spellEnd"/>
      <w:r w:rsidR="00CC3807" w:rsidRPr="006A5772">
        <w:rPr>
          <w:rFonts w:cstheme="minorHAnsi"/>
        </w:rPr>
        <w:t xml:space="preserve"> mamy możliwość wpływania na opinię Parlamentu Europejskiego i Rady</w:t>
      </w:r>
      <w:r w:rsidR="00CC3807">
        <w:rPr>
          <w:rFonts w:cstheme="minorHAnsi"/>
        </w:rPr>
        <w:t xml:space="preserve">. </w:t>
      </w:r>
      <w:r w:rsidR="00D9439D" w:rsidRPr="006A5772">
        <w:rPr>
          <w:rFonts w:cstheme="minorHAnsi"/>
        </w:rPr>
        <w:t xml:space="preserve">Izba jest także gotowa do współpracy z instytucjami krajowymi uczestniczącymi w pracach nad dyrektywą. </w:t>
      </w:r>
    </w:p>
    <w:p w14:paraId="2D9B314F" w14:textId="3C4FB1BE" w:rsidR="006A5772" w:rsidRPr="006A5772" w:rsidRDefault="006A5772" w:rsidP="006A7F3A">
      <w:pPr>
        <w:rPr>
          <w:rFonts w:cstheme="minorHAnsi"/>
        </w:rPr>
      </w:pPr>
    </w:p>
    <w:sectPr w:rsidR="006A5772" w:rsidRPr="006A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995A" w14:textId="77777777" w:rsidR="0013333A" w:rsidRDefault="0013333A" w:rsidP="00122DDB">
      <w:r>
        <w:separator/>
      </w:r>
    </w:p>
  </w:endnote>
  <w:endnote w:type="continuationSeparator" w:id="0">
    <w:p w14:paraId="616C7B57" w14:textId="77777777" w:rsidR="0013333A" w:rsidRDefault="0013333A" w:rsidP="0012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E71C" w14:textId="77777777" w:rsidR="0013333A" w:rsidRDefault="0013333A" w:rsidP="00122DDB">
      <w:r>
        <w:separator/>
      </w:r>
    </w:p>
  </w:footnote>
  <w:footnote w:type="continuationSeparator" w:id="0">
    <w:p w14:paraId="44DE592C" w14:textId="77777777" w:rsidR="0013333A" w:rsidRDefault="0013333A" w:rsidP="00122DDB">
      <w:r>
        <w:continuationSeparator/>
      </w:r>
    </w:p>
  </w:footnote>
  <w:footnote w:id="1">
    <w:p w14:paraId="2AD27162" w14:textId="77777777" w:rsidR="004256D1" w:rsidRDefault="004256D1" w:rsidP="004256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2330">
        <w:t xml:space="preserve">Redukcja w stosunku do </w:t>
      </w:r>
      <w:r>
        <w:t>ładunku na</w:t>
      </w:r>
      <w:r w:rsidRPr="00D12330">
        <w:t xml:space="preserve"> dopływ</w:t>
      </w:r>
      <w:r>
        <w:t>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54"/>
    <w:multiLevelType w:val="hybridMultilevel"/>
    <w:tmpl w:val="7044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4972"/>
    <w:multiLevelType w:val="hybridMultilevel"/>
    <w:tmpl w:val="FE2C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2EFE"/>
    <w:multiLevelType w:val="hybridMultilevel"/>
    <w:tmpl w:val="65CCC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E04"/>
    <w:multiLevelType w:val="hybridMultilevel"/>
    <w:tmpl w:val="6CCE9406"/>
    <w:lvl w:ilvl="0" w:tplc="E3FA9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B31"/>
    <w:multiLevelType w:val="hybridMultilevel"/>
    <w:tmpl w:val="0F1027A2"/>
    <w:lvl w:ilvl="0" w:tplc="887220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59B5"/>
    <w:multiLevelType w:val="hybridMultilevel"/>
    <w:tmpl w:val="18C4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AF1"/>
    <w:multiLevelType w:val="hybridMultilevel"/>
    <w:tmpl w:val="19B6A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87DD4"/>
    <w:multiLevelType w:val="hybridMultilevel"/>
    <w:tmpl w:val="5096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7A97"/>
    <w:multiLevelType w:val="hybridMultilevel"/>
    <w:tmpl w:val="E78ED03A"/>
    <w:lvl w:ilvl="0" w:tplc="94C4B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F70FB"/>
    <w:multiLevelType w:val="hybridMultilevel"/>
    <w:tmpl w:val="1A463384"/>
    <w:lvl w:ilvl="0" w:tplc="A3A20B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5327D"/>
    <w:multiLevelType w:val="hybridMultilevel"/>
    <w:tmpl w:val="44861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2150D"/>
    <w:multiLevelType w:val="hybridMultilevel"/>
    <w:tmpl w:val="133A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2A5C"/>
    <w:multiLevelType w:val="hybridMultilevel"/>
    <w:tmpl w:val="35B23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43DAD"/>
    <w:multiLevelType w:val="hybridMultilevel"/>
    <w:tmpl w:val="0780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D0D7D"/>
    <w:multiLevelType w:val="hybridMultilevel"/>
    <w:tmpl w:val="2DA2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B7BB8"/>
    <w:multiLevelType w:val="hybridMultilevel"/>
    <w:tmpl w:val="24F89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570477">
    <w:abstractNumId w:val="4"/>
  </w:num>
  <w:num w:numId="2" w16cid:durableId="673459763">
    <w:abstractNumId w:val="11"/>
  </w:num>
  <w:num w:numId="3" w16cid:durableId="515508321">
    <w:abstractNumId w:val="7"/>
  </w:num>
  <w:num w:numId="4" w16cid:durableId="100229918">
    <w:abstractNumId w:val="2"/>
  </w:num>
  <w:num w:numId="5" w16cid:durableId="1238783359">
    <w:abstractNumId w:val="10"/>
  </w:num>
  <w:num w:numId="6" w16cid:durableId="1375501446">
    <w:abstractNumId w:val="13"/>
  </w:num>
  <w:num w:numId="7" w16cid:durableId="344140832">
    <w:abstractNumId w:val="5"/>
  </w:num>
  <w:num w:numId="8" w16cid:durableId="970943828">
    <w:abstractNumId w:val="3"/>
  </w:num>
  <w:num w:numId="9" w16cid:durableId="741224020">
    <w:abstractNumId w:val="12"/>
  </w:num>
  <w:num w:numId="10" w16cid:durableId="1306544162">
    <w:abstractNumId w:val="14"/>
  </w:num>
  <w:num w:numId="11" w16cid:durableId="464930378">
    <w:abstractNumId w:val="8"/>
  </w:num>
  <w:num w:numId="12" w16cid:durableId="564681264">
    <w:abstractNumId w:val="9"/>
  </w:num>
  <w:num w:numId="13" w16cid:durableId="1957252057">
    <w:abstractNumId w:val="1"/>
  </w:num>
  <w:num w:numId="14" w16cid:durableId="1029648781">
    <w:abstractNumId w:val="0"/>
  </w:num>
  <w:num w:numId="15" w16cid:durableId="1106002484">
    <w:abstractNumId w:val="6"/>
  </w:num>
  <w:num w:numId="16" w16cid:durableId="10463001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C"/>
    <w:rsid w:val="00077029"/>
    <w:rsid w:val="00085A19"/>
    <w:rsid w:val="000B7018"/>
    <w:rsid w:val="000C11D9"/>
    <w:rsid w:val="00122DDB"/>
    <w:rsid w:val="00124C06"/>
    <w:rsid w:val="0013333A"/>
    <w:rsid w:val="00162A82"/>
    <w:rsid w:val="001B2E39"/>
    <w:rsid w:val="001D381C"/>
    <w:rsid w:val="001D79AA"/>
    <w:rsid w:val="001F4C42"/>
    <w:rsid w:val="001F56C3"/>
    <w:rsid w:val="0020207D"/>
    <w:rsid w:val="0023179E"/>
    <w:rsid w:val="0023275E"/>
    <w:rsid w:val="00234BDA"/>
    <w:rsid w:val="002927C4"/>
    <w:rsid w:val="002957F7"/>
    <w:rsid w:val="002F4B86"/>
    <w:rsid w:val="0034658C"/>
    <w:rsid w:val="00347978"/>
    <w:rsid w:val="003D3C50"/>
    <w:rsid w:val="003E33AF"/>
    <w:rsid w:val="003E52E4"/>
    <w:rsid w:val="004256D1"/>
    <w:rsid w:val="0047326A"/>
    <w:rsid w:val="00495129"/>
    <w:rsid w:val="004F44C9"/>
    <w:rsid w:val="00594922"/>
    <w:rsid w:val="005C7B96"/>
    <w:rsid w:val="005F2248"/>
    <w:rsid w:val="005F6C15"/>
    <w:rsid w:val="006200E4"/>
    <w:rsid w:val="00646DE1"/>
    <w:rsid w:val="0067674C"/>
    <w:rsid w:val="00693C93"/>
    <w:rsid w:val="006A5772"/>
    <w:rsid w:val="006A7F3A"/>
    <w:rsid w:val="0070489B"/>
    <w:rsid w:val="00776BD1"/>
    <w:rsid w:val="007C51EB"/>
    <w:rsid w:val="008272F6"/>
    <w:rsid w:val="00845415"/>
    <w:rsid w:val="00882CBD"/>
    <w:rsid w:val="008975AF"/>
    <w:rsid w:val="008A5DF5"/>
    <w:rsid w:val="008B456D"/>
    <w:rsid w:val="008D695C"/>
    <w:rsid w:val="008F13A0"/>
    <w:rsid w:val="008F58E7"/>
    <w:rsid w:val="009003E2"/>
    <w:rsid w:val="0090656C"/>
    <w:rsid w:val="00967492"/>
    <w:rsid w:val="009D4CF2"/>
    <w:rsid w:val="009E5B85"/>
    <w:rsid w:val="00A518F7"/>
    <w:rsid w:val="00A53068"/>
    <w:rsid w:val="00A86A28"/>
    <w:rsid w:val="00AA300E"/>
    <w:rsid w:val="00AC0979"/>
    <w:rsid w:val="00AC5E08"/>
    <w:rsid w:val="00AD6ADC"/>
    <w:rsid w:val="00AF0A18"/>
    <w:rsid w:val="00AF3026"/>
    <w:rsid w:val="00B03C26"/>
    <w:rsid w:val="00B349CA"/>
    <w:rsid w:val="00B364F3"/>
    <w:rsid w:val="00BB792F"/>
    <w:rsid w:val="00BE04E7"/>
    <w:rsid w:val="00BE3F39"/>
    <w:rsid w:val="00C07A0C"/>
    <w:rsid w:val="00C25464"/>
    <w:rsid w:val="00C30428"/>
    <w:rsid w:val="00C7305F"/>
    <w:rsid w:val="00C9417E"/>
    <w:rsid w:val="00CB4358"/>
    <w:rsid w:val="00CC3807"/>
    <w:rsid w:val="00D102A9"/>
    <w:rsid w:val="00D4662C"/>
    <w:rsid w:val="00D51211"/>
    <w:rsid w:val="00D539E5"/>
    <w:rsid w:val="00D9439D"/>
    <w:rsid w:val="00DA7256"/>
    <w:rsid w:val="00DE187F"/>
    <w:rsid w:val="00E17FD2"/>
    <w:rsid w:val="00E76EE2"/>
    <w:rsid w:val="00E87DA0"/>
    <w:rsid w:val="00EB51C2"/>
    <w:rsid w:val="00EE1AD4"/>
    <w:rsid w:val="00F53FFC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9C34"/>
  <w15:chartTrackingRefBased/>
  <w15:docId w15:val="{760B1C00-190B-8141-A2D7-FDEAFD65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30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D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D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DDB"/>
    <w:rPr>
      <w:vertAlign w:val="superscript"/>
    </w:rPr>
  </w:style>
  <w:style w:type="table" w:styleId="Tabela-Siatka">
    <w:name w:val="Table Grid"/>
    <w:basedOn w:val="Standardowy"/>
    <w:uiPriority w:val="39"/>
    <w:rsid w:val="0042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6D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ea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1893</Words>
  <Characters>11364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Ramm</dc:creator>
  <cp:keywords/>
  <dc:description/>
  <cp:lastModifiedBy>Ewelina Michałek</cp:lastModifiedBy>
  <cp:revision>2</cp:revision>
  <dcterms:created xsi:type="dcterms:W3CDTF">2023-01-11T08:11:00Z</dcterms:created>
  <dcterms:modified xsi:type="dcterms:W3CDTF">2023-01-11T08:11:00Z</dcterms:modified>
</cp:coreProperties>
</file>