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6"/>
        <w:gridCol w:w="647"/>
        <w:gridCol w:w="425"/>
        <w:gridCol w:w="465"/>
        <w:gridCol w:w="414"/>
        <w:gridCol w:w="155"/>
        <w:gridCol w:w="187"/>
        <w:gridCol w:w="383"/>
        <w:gridCol w:w="554"/>
        <w:gridCol w:w="16"/>
        <w:gridCol w:w="118"/>
        <w:gridCol w:w="151"/>
        <w:gridCol w:w="300"/>
        <w:gridCol w:w="353"/>
        <w:gridCol w:w="217"/>
        <w:gridCol w:w="570"/>
        <w:gridCol w:w="80"/>
        <w:gridCol w:w="71"/>
        <w:gridCol w:w="419"/>
        <w:gridCol w:w="113"/>
        <w:gridCol w:w="405"/>
        <w:gridCol w:w="51"/>
        <w:gridCol w:w="266"/>
        <w:gridCol w:w="304"/>
        <w:gridCol w:w="317"/>
        <w:gridCol w:w="253"/>
        <w:gridCol w:w="570"/>
        <w:gridCol w:w="115"/>
        <w:gridCol w:w="1422"/>
        <w:gridCol w:w="10"/>
      </w:tblGrid>
      <w:tr w:rsidR="006A701A" w:rsidRPr="00A87B3A" w14:paraId="543CF14B" w14:textId="77777777" w:rsidTr="00676C8D">
        <w:trPr>
          <w:gridAfter w:val="1"/>
          <w:wAfter w:w="10" w:type="dxa"/>
          <w:trHeight w:val="1611"/>
        </w:trPr>
        <w:tc>
          <w:tcPr>
            <w:tcW w:w="6631" w:type="dxa"/>
            <w:gridSpan w:val="17"/>
          </w:tcPr>
          <w:p w14:paraId="722B91EF" w14:textId="77777777" w:rsidR="006A701A" w:rsidRPr="00A87B3A" w:rsidRDefault="006A701A" w:rsidP="009629CE">
            <w:pPr>
              <w:spacing w:line="240" w:lineRule="auto"/>
              <w:ind w:hanging="45"/>
              <w:rPr>
                <w:rFonts w:ascii="Times New Roman" w:hAnsi="Times New Roman"/>
                <w:color w:val="000000"/>
              </w:rPr>
            </w:pPr>
            <w:bookmarkStart w:id="0" w:name="t1"/>
            <w:r w:rsidRPr="00A87B3A">
              <w:rPr>
                <w:rFonts w:ascii="Times New Roman" w:hAnsi="Times New Roman"/>
                <w:b/>
                <w:color w:val="000000"/>
              </w:rPr>
              <w:t xml:space="preserve">Nazwa </w:t>
            </w:r>
            <w:r w:rsidR="001B75D8" w:rsidRPr="00A87B3A">
              <w:rPr>
                <w:rFonts w:ascii="Times New Roman" w:hAnsi="Times New Roman"/>
                <w:b/>
                <w:color w:val="000000"/>
              </w:rPr>
              <w:t>projektu</w:t>
            </w:r>
          </w:p>
          <w:p w14:paraId="53CC4184" w14:textId="2DF26AA7" w:rsidR="00CA7701" w:rsidRPr="00CA7701" w:rsidRDefault="00CA7701" w:rsidP="00CA7701">
            <w:pPr>
              <w:spacing w:line="240" w:lineRule="auto"/>
              <w:ind w:hanging="45"/>
              <w:rPr>
                <w:rFonts w:ascii="Times New Roman" w:hAnsi="Times New Roman"/>
                <w:color w:val="000000"/>
              </w:rPr>
            </w:pPr>
            <w:r w:rsidRPr="00CA7701">
              <w:rPr>
                <w:rFonts w:ascii="Times New Roman" w:hAnsi="Times New Roman"/>
                <w:color w:val="000000"/>
              </w:rPr>
              <w:t xml:space="preserve">Projekt rozporządzenia Ministra Klimatu i Środowiska w sprawie zmiany wielkości udziału ilościowego sumy energii elektrycznej wynikającej z umorzonych świadectw pochodzenia potwierdzających wytworzenie energii elektrycznej z odnawialnych źródeł energii </w:t>
            </w:r>
            <w:r w:rsidR="00E74B70">
              <w:rPr>
                <w:rFonts w:ascii="Times New Roman" w:hAnsi="Times New Roman"/>
                <w:color w:val="000000"/>
              </w:rPr>
              <w:br/>
            </w:r>
            <w:r w:rsidRPr="00CA7701">
              <w:rPr>
                <w:rFonts w:ascii="Times New Roman" w:hAnsi="Times New Roman"/>
                <w:color w:val="000000"/>
              </w:rPr>
              <w:t xml:space="preserve">w </w:t>
            </w:r>
            <w:r w:rsidR="009D57B9">
              <w:rPr>
                <w:rFonts w:ascii="Times New Roman" w:hAnsi="Times New Roman"/>
                <w:color w:val="000000"/>
              </w:rPr>
              <w:t xml:space="preserve">latach </w:t>
            </w:r>
            <w:r w:rsidRPr="00CA7701">
              <w:rPr>
                <w:rFonts w:ascii="Times New Roman" w:hAnsi="Times New Roman"/>
                <w:color w:val="000000"/>
              </w:rPr>
              <w:t>202</w:t>
            </w:r>
            <w:r w:rsidR="00A43B6D">
              <w:rPr>
                <w:rFonts w:ascii="Times New Roman" w:hAnsi="Times New Roman"/>
                <w:color w:val="000000"/>
              </w:rPr>
              <w:t>4</w:t>
            </w:r>
            <w:r w:rsidR="007A6A78">
              <w:rPr>
                <w:rFonts w:ascii="Times New Roman" w:hAnsi="Times New Roman"/>
                <w:color w:val="000000"/>
              </w:rPr>
              <w:t>-</w:t>
            </w:r>
            <w:r w:rsidR="009D57B9">
              <w:rPr>
                <w:rFonts w:ascii="Times New Roman" w:hAnsi="Times New Roman"/>
                <w:color w:val="000000"/>
              </w:rPr>
              <w:t>2026</w:t>
            </w:r>
          </w:p>
          <w:p w14:paraId="391CF830" w14:textId="77777777" w:rsidR="00A87B3A" w:rsidRPr="00A87B3A" w:rsidRDefault="00A87B3A" w:rsidP="009629CE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</w:p>
          <w:p w14:paraId="276A2334" w14:textId="77777777" w:rsidR="006A701A" w:rsidRPr="00A87B3A" w:rsidRDefault="006A701A" w:rsidP="009629CE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Ministerstwo wiodące i ministerstwa współpracujące</w:t>
            </w:r>
          </w:p>
          <w:bookmarkEnd w:id="0"/>
          <w:p w14:paraId="366FD858" w14:textId="77777777" w:rsidR="00CA7701" w:rsidRPr="00CA7701" w:rsidRDefault="00CA7701" w:rsidP="00CA7701">
            <w:pPr>
              <w:spacing w:line="240" w:lineRule="auto"/>
              <w:ind w:hanging="45"/>
              <w:rPr>
                <w:rFonts w:ascii="Times New Roman" w:hAnsi="Times New Roman"/>
                <w:color w:val="000000"/>
              </w:rPr>
            </w:pPr>
            <w:r w:rsidRPr="00CA7701">
              <w:rPr>
                <w:rFonts w:ascii="Times New Roman" w:hAnsi="Times New Roman"/>
                <w:color w:val="000000"/>
              </w:rPr>
              <w:t>Ministerstwo Klimatu i Środowiska</w:t>
            </w:r>
          </w:p>
          <w:p w14:paraId="6AE840BA" w14:textId="77777777" w:rsidR="00A87B3A" w:rsidRPr="00A87B3A" w:rsidRDefault="00A87B3A" w:rsidP="009629CE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</w:p>
          <w:p w14:paraId="6B0813C8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87B3A">
              <w:rPr>
                <w:rFonts w:ascii="Times New Roman" w:hAnsi="Times New Roman"/>
                <w:b/>
              </w:rPr>
              <w:t xml:space="preserve">Osoba odpowiedzialna za projekt w randze Ministra, Sekretarza Stanu lub Podsekretarza Stanu </w:t>
            </w:r>
          </w:p>
          <w:p w14:paraId="24433298" w14:textId="77777777" w:rsidR="00CA7701" w:rsidRPr="00CA7701" w:rsidRDefault="00CA7701" w:rsidP="00CA7701">
            <w:pPr>
              <w:spacing w:line="240" w:lineRule="auto"/>
              <w:rPr>
                <w:rFonts w:ascii="Times New Roman" w:hAnsi="Times New Roman"/>
              </w:rPr>
            </w:pPr>
            <w:r w:rsidRPr="00CA7701">
              <w:rPr>
                <w:rFonts w:ascii="Times New Roman" w:hAnsi="Times New Roman"/>
              </w:rPr>
              <w:t>Ireneusz Zyska – Sekretarz Stanu, Ministerstwo Klimatu i Środowiska</w:t>
            </w:r>
          </w:p>
          <w:p w14:paraId="05655EC7" w14:textId="77777777" w:rsidR="00A87B3A" w:rsidRPr="00A87B3A" w:rsidRDefault="00A87B3A" w:rsidP="009629CE">
            <w:pPr>
              <w:spacing w:line="240" w:lineRule="auto"/>
              <w:rPr>
                <w:rFonts w:ascii="Times New Roman" w:hAnsi="Times New Roman"/>
              </w:rPr>
            </w:pPr>
          </w:p>
          <w:p w14:paraId="1CF1B3CA" w14:textId="77777777" w:rsidR="006A701A" w:rsidRPr="00A87B3A" w:rsidRDefault="006A701A" w:rsidP="009629CE">
            <w:pPr>
              <w:spacing w:line="240" w:lineRule="auto"/>
              <w:ind w:hanging="45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Kontakt do opiekuna merytorycznego projektu</w:t>
            </w:r>
          </w:p>
          <w:p w14:paraId="7F8B0866" w14:textId="0E4B1977" w:rsidR="006A701A" w:rsidRPr="00A87B3A" w:rsidRDefault="002C6177" w:rsidP="009629CE">
            <w:pPr>
              <w:spacing w:line="240" w:lineRule="auto"/>
              <w:ind w:hanging="3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Marcin</w:t>
            </w:r>
            <w:r w:rsidR="00CA7701" w:rsidRPr="00CA7701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Szyndler</w:t>
            </w:r>
            <w:r w:rsidR="00CA7701" w:rsidRPr="00CA7701">
              <w:rPr>
                <w:rFonts w:ascii="Times New Roman" w:hAnsi="Times New Roman"/>
                <w:color w:val="000000"/>
              </w:rPr>
              <w:t xml:space="preserve"> – starszy specjalista, Wydział Regulacji i Mechanizmów Wsparcia Odnawialnych Źródeł Energii, e-mail: </w:t>
            </w:r>
            <w:hyperlink r:id="rId8" w:history="1">
              <w:r w:rsidR="0011620E" w:rsidRPr="00B9174D">
                <w:rPr>
                  <w:rStyle w:val="Hipercze"/>
                  <w:rFonts w:ascii="Times New Roman" w:hAnsi="Times New Roman"/>
                </w:rPr>
                <w:t>marcin.szyndler@klimat.gov.pl</w:t>
              </w:r>
            </w:hyperlink>
            <w:r w:rsidR="00CA7701" w:rsidRPr="00CA770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4306" w:type="dxa"/>
            <w:gridSpan w:val="12"/>
            <w:shd w:val="clear" w:color="auto" w:fill="FFFFFF"/>
          </w:tcPr>
          <w:p w14:paraId="13CE1DDB" w14:textId="05A5351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87B3A">
              <w:rPr>
                <w:rFonts w:ascii="Times New Roman" w:hAnsi="Times New Roman"/>
                <w:b/>
              </w:rPr>
              <w:t>Data sporządzenia</w:t>
            </w:r>
            <w:r w:rsidRPr="00A87B3A">
              <w:rPr>
                <w:rFonts w:ascii="Times New Roman" w:hAnsi="Times New Roman"/>
                <w:b/>
              </w:rPr>
              <w:br/>
            </w:r>
            <w:r w:rsidR="00357B4D">
              <w:rPr>
                <w:rFonts w:ascii="Times New Roman" w:hAnsi="Times New Roman"/>
              </w:rPr>
              <w:t>6</w:t>
            </w:r>
            <w:r w:rsidR="00725FE3">
              <w:rPr>
                <w:rFonts w:ascii="Times New Roman" w:hAnsi="Times New Roman"/>
              </w:rPr>
              <w:t>.0</w:t>
            </w:r>
            <w:r w:rsidR="00357B4D">
              <w:rPr>
                <w:rFonts w:ascii="Times New Roman" w:hAnsi="Times New Roman"/>
              </w:rPr>
              <w:t>6</w:t>
            </w:r>
            <w:r w:rsidR="00725FE3">
              <w:rPr>
                <w:rFonts w:ascii="Times New Roman" w:hAnsi="Times New Roman"/>
              </w:rPr>
              <w:t xml:space="preserve">.2023 r. </w:t>
            </w:r>
          </w:p>
          <w:p w14:paraId="655C0424" w14:textId="77777777" w:rsidR="00F76884" w:rsidRPr="00A87B3A" w:rsidRDefault="00F76884" w:rsidP="009629CE">
            <w:pPr>
              <w:spacing w:line="240" w:lineRule="auto"/>
              <w:rPr>
                <w:rFonts w:ascii="Times New Roman" w:hAnsi="Times New Roman"/>
                <w:b/>
              </w:rPr>
            </w:pPr>
          </w:p>
          <w:p w14:paraId="1617D204" w14:textId="1ADCA052" w:rsidR="00F76884" w:rsidRPr="00A87B3A" w:rsidRDefault="00F76884" w:rsidP="009629CE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A87B3A">
              <w:rPr>
                <w:rFonts w:ascii="Times New Roman" w:hAnsi="Times New Roman"/>
                <w:b/>
              </w:rPr>
              <w:t xml:space="preserve">Źródło: </w:t>
            </w:r>
            <w:bookmarkStart w:id="1" w:name="Lista1"/>
          </w:p>
          <w:bookmarkEnd w:id="1"/>
          <w:p w14:paraId="2AE09D60" w14:textId="76D80270" w:rsidR="00F76884" w:rsidRPr="00A87B3A" w:rsidRDefault="00725FE3" w:rsidP="009629CE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Upoważnienie ustawowe: art. 60 ustawy z dnia </w:t>
            </w:r>
            <w:r w:rsidRPr="00725FE3">
              <w:rPr>
                <w:rFonts w:ascii="Times New Roman" w:hAnsi="Times New Roman"/>
              </w:rPr>
              <w:t>20 lutego 2015 r. o odnawialnych źródłach energii</w:t>
            </w:r>
            <w:r>
              <w:rPr>
                <w:rFonts w:ascii="Times New Roman" w:hAnsi="Times New Roman"/>
              </w:rPr>
              <w:t xml:space="preserve"> (</w:t>
            </w:r>
            <w:r w:rsidRPr="00725FE3">
              <w:rPr>
                <w:rFonts w:ascii="Times New Roman" w:hAnsi="Times New Roman"/>
              </w:rPr>
              <w:t>Dz.U. z 2022 r. poz. 1378</w:t>
            </w:r>
            <w:r w:rsidR="00357B4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z późn. zm.)</w:t>
            </w:r>
          </w:p>
          <w:p w14:paraId="06022F04" w14:textId="77777777" w:rsidR="00F76884" w:rsidRPr="00A87B3A" w:rsidRDefault="00F76884" w:rsidP="009629CE">
            <w:pPr>
              <w:spacing w:line="240" w:lineRule="auto"/>
              <w:rPr>
                <w:rFonts w:ascii="Times New Roman" w:hAnsi="Times New Roman"/>
              </w:rPr>
            </w:pPr>
          </w:p>
          <w:p w14:paraId="4C470FB0" w14:textId="6FD8199D" w:rsidR="006A701A" w:rsidRPr="00A87B3A" w:rsidRDefault="006A701A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 xml:space="preserve">Nr </w:t>
            </w:r>
            <w:r w:rsidR="0057668E" w:rsidRPr="00A87B3A">
              <w:rPr>
                <w:rFonts w:ascii="Times New Roman" w:hAnsi="Times New Roman"/>
                <w:b/>
                <w:color w:val="000000"/>
              </w:rPr>
              <w:t>w</w:t>
            </w:r>
            <w:r w:rsidRPr="00A87B3A">
              <w:rPr>
                <w:rFonts w:ascii="Times New Roman" w:hAnsi="Times New Roman"/>
                <w:b/>
                <w:color w:val="000000"/>
              </w:rPr>
              <w:t xml:space="preserve"> wykaz</w:t>
            </w:r>
            <w:r w:rsidR="0057668E" w:rsidRPr="00A87B3A">
              <w:rPr>
                <w:rFonts w:ascii="Times New Roman" w:hAnsi="Times New Roman"/>
                <w:b/>
                <w:color w:val="000000"/>
              </w:rPr>
              <w:t>ie</w:t>
            </w:r>
            <w:r w:rsidRPr="00A87B3A">
              <w:rPr>
                <w:rFonts w:ascii="Times New Roman" w:hAnsi="Times New Roman"/>
                <w:b/>
                <w:color w:val="000000"/>
              </w:rPr>
              <w:t xml:space="preserve"> prac</w:t>
            </w:r>
            <w:r w:rsidR="000811DC">
              <w:rPr>
                <w:rFonts w:ascii="Times New Roman" w:hAnsi="Times New Roman"/>
                <w:b/>
                <w:color w:val="000000"/>
              </w:rPr>
              <w:t xml:space="preserve"> -</w:t>
            </w:r>
            <w:r w:rsidRPr="00A87B3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0811DC">
              <w:rPr>
                <w:rFonts w:ascii="Times New Roman" w:hAnsi="Times New Roman"/>
                <w:b/>
                <w:color w:val="000000"/>
              </w:rPr>
              <w:t>1089</w:t>
            </w:r>
          </w:p>
          <w:p w14:paraId="5D31A2BC" w14:textId="77777777" w:rsidR="006A701A" w:rsidRPr="00A87B3A" w:rsidRDefault="006A701A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6A701A" w:rsidRPr="00A87B3A" w14:paraId="79341850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4101B2C5" w14:textId="77777777" w:rsidR="006A701A" w:rsidRPr="00E74A9F" w:rsidRDefault="006A701A" w:rsidP="009629CE">
            <w:pPr>
              <w:spacing w:line="240" w:lineRule="auto"/>
              <w:ind w:left="57"/>
              <w:jc w:val="center"/>
              <w:rPr>
                <w:rFonts w:ascii="Times New Roman" w:hAnsi="Times New Roman"/>
                <w:b/>
                <w:color w:val="FFFFFF"/>
                <w:sz w:val="28"/>
                <w:szCs w:val="28"/>
              </w:rPr>
            </w:pPr>
            <w:r w:rsidRPr="00E74A9F">
              <w:rPr>
                <w:rFonts w:ascii="Times New Roman" w:hAnsi="Times New Roman"/>
                <w:b/>
                <w:color w:val="FFFFFF"/>
                <w:sz w:val="28"/>
                <w:szCs w:val="28"/>
              </w:rPr>
              <w:t>OCENA SKUTKÓW REGULACJI</w:t>
            </w:r>
          </w:p>
        </w:tc>
      </w:tr>
      <w:tr w:rsidR="006A701A" w:rsidRPr="00A87B3A" w14:paraId="2FF607D9" w14:textId="77777777" w:rsidTr="00676C8D">
        <w:trPr>
          <w:gridAfter w:val="1"/>
          <w:wAfter w:w="10" w:type="dxa"/>
          <w:trHeight w:val="33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E95B2B7" w14:textId="77777777" w:rsidR="006A701A" w:rsidRPr="00A87B3A" w:rsidRDefault="003D12F6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</w:rPr>
              <w:t xml:space="preserve">Jaki problem jest </w:t>
            </w:r>
            <w:r w:rsidR="00CC6305" w:rsidRPr="00A87B3A">
              <w:rPr>
                <w:rFonts w:ascii="Times New Roman" w:hAnsi="Times New Roman"/>
                <w:b/>
              </w:rPr>
              <w:t>rozwiązywany?</w:t>
            </w:r>
            <w:bookmarkStart w:id="2" w:name="Wybór1"/>
            <w:bookmarkEnd w:id="2"/>
          </w:p>
        </w:tc>
      </w:tr>
      <w:tr w:rsidR="006A701A" w:rsidRPr="00A87B3A" w14:paraId="0A804BF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5827D0C0" w14:textId="60789028" w:rsidR="007E0B30" w:rsidRPr="00A368C3" w:rsidRDefault="00495D03" w:rsidP="009629CE">
            <w:pPr>
              <w:spacing w:line="240" w:lineRule="auto"/>
              <w:jc w:val="both"/>
              <w:rPr>
                <w:rFonts w:ascii="Times New Roman" w:hAnsi="Times New Roman"/>
                <w:color w:val="0070C0"/>
              </w:rPr>
            </w:pPr>
            <w:r w:rsidRPr="00C16956">
              <w:rPr>
                <w:rFonts w:ascii="Times New Roman" w:hAnsi="Times New Roman"/>
              </w:rPr>
              <w:t xml:space="preserve">System świadectw pochodzenia, to jeden z trzech </w:t>
            </w:r>
            <w:r w:rsidR="00723811" w:rsidRPr="00C16956">
              <w:rPr>
                <w:rFonts w:ascii="Times New Roman" w:hAnsi="Times New Roman"/>
              </w:rPr>
              <w:t xml:space="preserve">podstawowych </w:t>
            </w:r>
            <w:r w:rsidRPr="00C16956">
              <w:rPr>
                <w:rFonts w:ascii="Times New Roman" w:hAnsi="Times New Roman"/>
              </w:rPr>
              <w:t>systemów wsparcia odnawialnych źródeł energii (dalej: „OZE”)</w:t>
            </w:r>
            <w:r w:rsidR="007E0B30" w:rsidRPr="00C16956">
              <w:rPr>
                <w:rFonts w:ascii="Times New Roman" w:hAnsi="Times New Roman"/>
              </w:rPr>
              <w:t xml:space="preserve">, </w:t>
            </w:r>
            <w:r w:rsidRPr="00C16956">
              <w:rPr>
                <w:rFonts w:ascii="Times New Roman" w:hAnsi="Times New Roman"/>
              </w:rPr>
              <w:t>funkcjonujący obecnie w Polsce</w:t>
            </w:r>
            <w:r w:rsidR="00723811" w:rsidRPr="00C16956">
              <w:rPr>
                <w:rFonts w:ascii="Times New Roman" w:hAnsi="Times New Roman"/>
              </w:rPr>
              <w:t xml:space="preserve"> obok </w:t>
            </w:r>
            <w:r w:rsidR="007E0B30" w:rsidRPr="00C16956">
              <w:rPr>
                <w:rFonts w:ascii="Times New Roman" w:hAnsi="Times New Roman"/>
              </w:rPr>
              <w:t>system</w:t>
            </w:r>
            <w:r w:rsidR="00723811" w:rsidRPr="00C16956">
              <w:rPr>
                <w:rFonts w:ascii="Times New Roman" w:hAnsi="Times New Roman"/>
              </w:rPr>
              <w:t>u</w:t>
            </w:r>
            <w:r w:rsidR="007E0B30" w:rsidRPr="00C16956">
              <w:rPr>
                <w:rFonts w:ascii="Times New Roman" w:hAnsi="Times New Roman"/>
              </w:rPr>
              <w:t xml:space="preserve"> taryf gwarantowanych </w:t>
            </w:r>
            <w:r w:rsidR="00723811" w:rsidRPr="00C16956">
              <w:rPr>
                <w:rFonts w:ascii="Times New Roman" w:hAnsi="Times New Roman"/>
              </w:rPr>
              <w:t>i</w:t>
            </w:r>
            <w:r w:rsidR="007E0B30" w:rsidRPr="00C16956">
              <w:rPr>
                <w:rFonts w:ascii="Times New Roman" w:hAnsi="Times New Roman"/>
              </w:rPr>
              <w:t xml:space="preserve"> dopłat do cen rynkowych</w:t>
            </w:r>
            <w:r w:rsidR="00723811" w:rsidRPr="00C16956">
              <w:rPr>
                <w:rFonts w:ascii="Times New Roman" w:hAnsi="Times New Roman"/>
              </w:rPr>
              <w:t xml:space="preserve"> oraz systemu aukcyjnego</w:t>
            </w:r>
            <w:r w:rsidRPr="00C16956">
              <w:rPr>
                <w:rFonts w:ascii="Times New Roman" w:hAnsi="Times New Roman"/>
              </w:rPr>
              <w:t xml:space="preserve">. </w:t>
            </w:r>
            <w:r w:rsidR="009D54B3" w:rsidRPr="00C16956">
              <w:rPr>
                <w:rFonts w:ascii="Times New Roman" w:hAnsi="Times New Roman"/>
              </w:rPr>
              <w:t xml:space="preserve">Podmioty uczestniczące w tym systemie </w:t>
            </w:r>
            <w:r w:rsidR="00060F88" w:rsidRPr="00A472BC">
              <w:rPr>
                <w:rFonts w:ascii="Times New Roman" w:hAnsi="Times New Roman"/>
              </w:rPr>
              <w:t>otrzymują świadectwa pochodzenia</w:t>
            </w:r>
            <w:r w:rsidR="00060F88" w:rsidRPr="00060F88">
              <w:rPr>
                <w:rFonts w:ascii="Times New Roman" w:hAnsi="Times New Roman"/>
              </w:rPr>
              <w:t xml:space="preserve"> </w:t>
            </w:r>
            <w:r w:rsidR="00060F88">
              <w:rPr>
                <w:rFonts w:ascii="Times New Roman" w:hAnsi="Times New Roman"/>
              </w:rPr>
              <w:t>za wytworzoną</w:t>
            </w:r>
            <w:r w:rsidR="00060F88" w:rsidRPr="00C16956">
              <w:rPr>
                <w:rFonts w:ascii="Times New Roman" w:hAnsi="Times New Roman"/>
              </w:rPr>
              <w:t xml:space="preserve"> </w:t>
            </w:r>
            <w:r w:rsidRPr="00C16956">
              <w:rPr>
                <w:rFonts w:ascii="Times New Roman" w:hAnsi="Times New Roman"/>
              </w:rPr>
              <w:t>energi</w:t>
            </w:r>
            <w:r w:rsidR="00060F88">
              <w:rPr>
                <w:rFonts w:ascii="Times New Roman" w:hAnsi="Times New Roman"/>
              </w:rPr>
              <w:t>ę elektryczną</w:t>
            </w:r>
            <w:r w:rsidRPr="00C16956">
              <w:rPr>
                <w:rFonts w:ascii="Times New Roman" w:hAnsi="Times New Roman"/>
              </w:rPr>
              <w:t xml:space="preserve"> z OZE</w:t>
            </w:r>
            <w:r w:rsidR="007E0B30" w:rsidRPr="00C16956">
              <w:rPr>
                <w:rFonts w:ascii="Times New Roman" w:hAnsi="Times New Roman"/>
              </w:rPr>
              <w:t xml:space="preserve">. Prawa majątkowe wynikające z </w:t>
            </w:r>
            <w:r w:rsidR="009D54B3" w:rsidRPr="00C16956">
              <w:rPr>
                <w:rFonts w:ascii="Times New Roman" w:hAnsi="Times New Roman"/>
              </w:rPr>
              <w:t>otrzymanych</w:t>
            </w:r>
            <w:r w:rsidR="007E0B30" w:rsidRPr="00C16956">
              <w:rPr>
                <w:rFonts w:ascii="Times New Roman" w:hAnsi="Times New Roman"/>
              </w:rPr>
              <w:t xml:space="preserve"> świadectw</w:t>
            </w:r>
            <w:r w:rsidR="009D54B3" w:rsidRPr="00C16956">
              <w:rPr>
                <w:rFonts w:ascii="Times New Roman" w:hAnsi="Times New Roman"/>
              </w:rPr>
              <w:t xml:space="preserve"> pochodzenia</w:t>
            </w:r>
            <w:r w:rsidR="007E0B30" w:rsidRPr="00C16956">
              <w:rPr>
                <w:rFonts w:ascii="Times New Roman" w:hAnsi="Times New Roman"/>
              </w:rPr>
              <w:t xml:space="preserve">, tzw. </w:t>
            </w:r>
            <w:r w:rsidR="00A13FE9">
              <w:rPr>
                <w:rFonts w:ascii="Times New Roman" w:hAnsi="Times New Roman"/>
              </w:rPr>
              <w:t>z</w:t>
            </w:r>
            <w:r w:rsidR="007E0B30" w:rsidRPr="00C16956">
              <w:rPr>
                <w:rFonts w:ascii="Times New Roman" w:hAnsi="Times New Roman"/>
              </w:rPr>
              <w:t xml:space="preserve">ielone lub błękitne certyfikaty, </w:t>
            </w:r>
            <w:r w:rsidRPr="00C16956">
              <w:rPr>
                <w:rFonts w:ascii="Times New Roman" w:hAnsi="Times New Roman"/>
              </w:rPr>
              <w:t>mogą zostać sprzedane za pośrednictwem Towarowej Giełdy Energii</w:t>
            </w:r>
            <w:r w:rsidR="009D54B3" w:rsidRPr="00C16956">
              <w:rPr>
                <w:rFonts w:ascii="Times New Roman" w:hAnsi="Times New Roman"/>
              </w:rPr>
              <w:t xml:space="preserve"> i podlegają </w:t>
            </w:r>
            <w:r w:rsidR="005D23AD">
              <w:rPr>
                <w:rFonts w:ascii="Times New Roman" w:hAnsi="Times New Roman"/>
              </w:rPr>
              <w:t>tam</w:t>
            </w:r>
            <w:r w:rsidR="009D54B3" w:rsidRPr="00C16956">
              <w:rPr>
                <w:rFonts w:ascii="Times New Roman" w:hAnsi="Times New Roman"/>
              </w:rPr>
              <w:t xml:space="preserve"> dalszemu obrotowi</w:t>
            </w:r>
            <w:r w:rsidRPr="00C16956">
              <w:rPr>
                <w:rFonts w:ascii="Times New Roman" w:hAnsi="Times New Roman"/>
              </w:rPr>
              <w:t xml:space="preserve">. Minister Klimatu i Środowiska </w:t>
            </w:r>
            <w:r w:rsidR="007E0B30" w:rsidRPr="00C16956">
              <w:rPr>
                <w:rFonts w:ascii="Times New Roman" w:hAnsi="Times New Roman"/>
              </w:rPr>
              <w:t xml:space="preserve">jest upoważniony </w:t>
            </w:r>
            <w:r w:rsidR="00060F88">
              <w:rPr>
                <w:rFonts w:ascii="Times New Roman" w:hAnsi="Times New Roman"/>
              </w:rPr>
              <w:t>do zarządzania rynkiem</w:t>
            </w:r>
            <w:r w:rsidR="005D23AD">
              <w:rPr>
                <w:rFonts w:ascii="Times New Roman" w:hAnsi="Times New Roman"/>
              </w:rPr>
              <w:t xml:space="preserve"> świadectw pochodzenia</w:t>
            </w:r>
            <w:r w:rsidR="005D23AD" w:rsidRPr="00C16956">
              <w:rPr>
                <w:rFonts w:ascii="Times New Roman" w:hAnsi="Times New Roman"/>
              </w:rPr>
              <w:t xml:space="preserve"> </w:t>
            </w:r>
            <w:r w:rsidRPr="00C16956">
              <w:rPr>
                <w:rFonts w:ascii="Times New Roman" w:hAnsi="Times New Roman"/>
              </w:rPr>
              <w:t>poprzez ustanowienie wielkości</w:t>
            </w:r>
            <w:r w:rsidR="007E0B30" w:rsidRPr="00C16956">
              <w:rPr>
                <w:rFonts w:ascii="Times New Roman" w:hAnsi="Times New Roman"/>
              </w:rPr>
              <w:t xml:space="preserve"> </w:t>
            </w:r>
            <w:r w:rsidR="009D54B3" w:rsidRPr="00C16956">
              <w:rPr>
                <w:rFonts w:ascii="Times New Roman" w:hAnsi="Times New Roman"/>
              </w:rPr>
              <w:t xml:space="preserve">obowiązku, o którym mowa w art. 52 ust. 1 ustawy </w:t>
            </w:r>
            <w:r w:rsidR="000A277E">
              <w:rPr>
                <w:rFonts w:ascii="Times New Roman" w:hAnsi="Times New Roman"/>
              </w:rPr>
              <w:t>z dnia 20 lutego 2015 r. o odnawialnych źródłach energii (Dz. U. z 2022 r. poz. 1378 z późn. zm.), dalej: „ustawa o OZE”</w:t>
            </w:r>
            <w:r w:rsidR="009D54B3" w:rsidRPr="00C16956">
              <w:rPr>
                <w:rFonts w:ascii="Times New Roman" w:hAnsi="Times New Roman"/>
              </w:rPr>
              <w:t xml:space="preserve">, czyli wolumenu energii wynikającej ze świadectw pochodzenia, które przedsiębiorstwo energetyczne sprzedające energię odbiorcom końcowym zobligowane jest pozyskać i przedstawić </w:t>
            </w:r>
            <w:r w:rsidR="00060F88" w:rsidRPr="005457D4">
              <w:rPr>
                <w:rFonts w:ascii="Times New Roman" w:hAnsi="Times New Roman"/>
              </w:rPr>
              <w:t>do umorzenia</w:t>
            </w:r>
            <w:r w:rsidR="00060F88" w:rsidRPr="00060F88">
              <w:rPr>
                <w:rFonts w:ascii="Times New Roman" w:hAnsi="Times New Roman"/>
              </w:rPr>
              <w:t xml:space="preserve"> </w:t>
            </w:r>
            <w:r w:rsidR="009D54B3" w:rsidRPr="00C16956">
              <w:rPr>
                <w:rFonts w:ascii="Times New Roman" w:hAnsi="Times New Roman"/>
              </w:rPr>
              <w:t>Prezesowi U</w:t>
            </w:r>
            <w:r w:rsidR="005D23AD">
              <w:rPr>
                <w:rFonts w:ascii="Times New Roman" w:hAnsi="Times New Roman"/>
              </w:rPr>
              <w:t xml:space="preserve">rzędu </w:t>
            </w:r>
            <w:r w:rsidR="009D54B3" w:rsidRPr="00C16956">
              <w:rPr>
                <w:rFonts w:ascii="Times New Roman" w:hAnsi="Times New Roman"/>
              </w:rPr>
              <w:t>R</w:t>
            </w:r>
            <w:r w:rsidR="005D23AD">
              <w:rPr>
                <w:rFonts w:ascii="Times New Roman" w:hAnsi="Times New Roman"/>
              </w:rPr>
              <w:t xml:space="preserve">egulacji </w:t>
            </w:r>
            <w:r w:rsidR="005D23AD" w:rsidRPr="005D23AD">
              <w:rPr>
                <w:rFonts w:ascii="Times New Roman" w:hAnsi="Times New Roman"/>
              </w:rPr>
              <w:t>E</w:t>
            </w:r>
            <w:r w:rsidR="005D23AD">
              <w:rPr>
                <w:rFonts w:ascii="Times New Roman" w:hAnsi="Times New Roman"/>
              </w:rPr>
              <w:t>nergetyki (dalej: „Prezes URE”)</w:t>
            </w:r>
            <w:r w:rsidR="009D54B3" w:rsidRPr="00C16956">
              <w:rPr>
                <w:rFonts w:ascii="Times New Roman" w:hAnsi="Times New Roman"/>
              </w:rPr>
              <w:t>. Obowiązek ten wyrażany jest w udzi</w:t>
            </w:r>
            <w:r w:rsidR="00A13FE9">
              <w:rPr>
                <w:rFonts w:ascii="Times New Roman" w:hAnsi="Times New Roman"/>
              </w:rPr>
              <w:t>a</w:t>
            </w:r>
            <w:r w:rsidR="009D54B3" w:rsidRPr="00C16956">
              <w:rPr>
                <w:rFonts w:ascii="Times New Roman" w:hAnsi="Times New Roman"/>
              </w:rPr>
              <w:t>l</w:t>
            </w:r>
            <w:r w:rsidR="00A13FE9">
              <w:rPr>
                <w:rFonts w:ascii="Times New Roman" w:hAnsi="Times New Roman"/>
              </w:rPr>
              <w:t>e</w:t>
            </w:r>
            <w:r w:rsidR="009D54B3" w:rsidRPr="00C16956">
              <w:rPr>
                <w:rFonts w:ascii="Times New Roman" w:hAnsi="Times New Roman"/>
              </w:rPr>
              <w:t xml:space="preserve"> procentowym wolumenu wynikającego</w:t>
            </w:r>
            <w:r w:rsidR="005D23AD">
              <w:rPr>
                <w:rFonts w:ascii="Times New Roman" w:hAnsi="Times New Roman"/>
              </w:rPr>
              <w:t xml:space="preserve"> </w:t>
            </w:r>
            <w:r w:rsidR="009D54B3" w:rsidRPr="00C16956">
              <w:rPr>
                <w:rFonts w:ascii="Times New Roman" w:hAnsi="Times New Roman"/>
              </w:rPr>
              <w:t xml:space="preserve">z umorzonych świadectw w </w:t>
            </w:r>
            <w:r w:rsidR="00A368C3" w:rsidRPr="00C16956">
              <w:rPr>
                <w:rFonts w:ascii="Times New Roman" w:hAnsi="Times New Roman"/>
              </w:rPr>
              <w:t xml:space="preserve">całkowitej </w:t>
            </w:r>
            <w:r w:rsidR="009D54B3" w:rsidRPr="00C16956">
              <w:rPr>
                <w:rFonts w:ascii="Times New Roman" w:hAnsi="Times New Roman"/>
              </w:rPr>
              <w:t xml:space="preserve">sprzedaży energii </w:t>
            </w:r>
            <w:r w:rsidR="00A368C3" w:rsidRPr="00C16956">
              <w:rPr>
                <w:rFonts w:ascii="Times New Roman" w:hAnsi="Times New Roman"/>
              </w:rPr>
              <w:t xml:space="preserve">tego przedsiębiorstwa </w:t>
            </w:r>
            <w:r w:rsidR="009D54B3" w:rsidRPr="00C16956">
              <w:rPr>
                <w:rFonts w:ascii="Times New Roman" w:hAnsi="Times New Roman"/>
              </w:rPr>
              <w:t>do odbiorców końcowych</w:t>
            </w:r>
            <w:r w:rsidR="00A368C3" w:rsidRPr="00C16956">
              <w:rPr>
                <w:rFonts w:ascii="Times New Roman" w:hAnsi="Times New Roman"/>
              </w:rPr>
              <w:t>, przy uwzględnieniu wyjątków określonych w ustawie</w:t>
            </w:r>
            <w:r w:rsidR="00060F88">
              <w:rPr>
                <w:rFonts w:ascii="Times New Roman" w:hAnsi="Times New Roman"/>
              </w:rPr>
              <w:t xml:space="preserve"> o OZE</w:t>
            </w:r>
            <w:r w:rsidR="009D54B3" w:rsidRPr="00C16956">
              <w:rPr>
                <w:rFonts w:ascii="Times New Roman" w:hAnsi="Times New Roman"/>
              </w:rPr>
              <w:t>.</w:t>
            </w:r>
            <w:r w:rsidRPr="00C16956">
              <w:rPr>
                <w:rFonts w:ascii="Times New Roman" w:hAnsi="Times New Roman"/>
              </w:rPr>
              <w:t xml:space="preserve"> Ustanowienie odpowiedniej wysokości </w:t>
            </w:r>
            <w:r w:rsidR="009D54B3" w:rsidRPr="00C16956">
              <w:rPr>
                <w:rFonts w:ascii="Times New Roman" w:hAnsi="Times New Roman"/>
              </w:rPr>
              <w:t xml:space="preserve">ww. </w:t>
            </w:r>
            <w:r w:rsidRPr="00C16956">
              <w:rPr>
                <w:rFonts w:ascii="Times New Roman" w:hAnsi="Times New Roman"/>
              </w:rPr>
              <w:t xml:space="preserve">obowiązku </w:t>
            </w:r>
            <w:r w:rsidR="009D54B3" w:rsidRPr="00C16956">
              <w:rPr>
                <w:rFonts w:ascii="Times New Roman" w:hAnsi="Times New Roman"/>
              </w:rPr>
              <w:t xml:space="preserve">powinno z jednej strony </w:t>
            </w:r>
            <w:r w:rsidRPr="00C16956">
              <w:rPr>
                <w:rFonts w:ascii="Times New Roman" w:hAnsi="Times New Roman"/>
              </w:rPr>
              <w:t xml:space="preserve">przyczynić się do </w:t>
            </w:r>
            <w:r w:rsidR="00A368C3" w:rsidRPr="00C16956">
              <w:rPr>
                <w:rFonts w:ascii="Times New Roman" w:hAnsi="Times New Roman"/>
              </w:rPr>
              <w:t>minimalizacji</w:t>
            </w:r>
            <w:r w:rsidRPr="00C16956">
              <w:rPr>
                <w:rFonts w:ascii="Times New Roman" w:hAnsi="Times New Roman"/>
              </w:rPr>
              <w:t xml:space="preserve"> obciążenia odbiorców końcowych kosztami wynikającymi z funkcjonowania systemu świadectw pochodzenia, </w:t>
            </w:r>
            <w:r w:rsidR="00A368C3" w:rsidRPr="00C16956">
              <w:rPr>
                <w:rFonts w:ascii="Times New Roman" w:hAnsi="Times New Roman"/>
              </w:rPr>
              <w:t>a z drugiej strony</w:t>
            </w:r>
            <w:r w:rsidRPr="00C16956">
              <w:rPr>
                <w:rFonts w:ascii="Times New Roman" w:hAnsi="Times New Roman"/>
              </w:rPr>
              <w:t xml:space="preserve"> </w:t>
            </w:r>
            <w:r w:rsidR="00A368C3" w:rsidRPr="00C16956">
              <w:rPr>
                <w:rFonts w:ascii="Times New Roman" w:hAnsi="Times New Roman"/>
              </w:rPr>
              <w:t>zapewnić</w:t>
            </w:r>
            <w:r w:rsidRPr="00C16956">
              <w:rPr>
                <w:rFonts w:ascii="Times New Roman" w:hAnsi="Times New Roman"/>
              </w:rPr>
              <w:t xml:space="preserve"> rentowność </w:t>
            </w:r>
            <w:r w:rsidR="00060F88">
              <w:rPr>
                <w:rFonts w:ascii="Times New Roman" w:hAnsi="Times New Roman"/>
              </w:rPr>
              <w:t>projektów</w:t>
            </w:r>
            <w:r w:rsidRPr="00C16956">
              <w:rPr>
                <w:rFonts w:ascii="Times New Roman" w:hAnsi="Times New Roman"/>
              </w:rPr>
              <w:t xml:space="preserve"> partycypujących w</w:t>
            </w:r>
            <w:r w:rsidR="00A13FE9">
              <w:rPr>
                <w:rFonts w:ascii="Times New Roman" w:hAnsi="Times New Roman"/>
              </w:rPr>
              <w:t xml:space="preserve"> tym</w:t>
            </w:r>
            <w:r w:rsidRPr="00C16956">
              <w:rPr>
                <w:rFonts w:ascii="Times New Roman" w:hAnsi="Times New Roman"/>
              </w:rPr>
              <w:t xml:space="preserve"> </w:t>
            </w:r>
            <w:r w:rsidR="007C74B8" w:rsidRPr="00C16956">
              <w:rPr>
                <w:rFonts w:ascii="Times New Roman" w:hAnsi="Times New Roman"/>
              </w:rPr>
              <w:t>systemie wsparcia</w:t>
            </w:r>
            <w:r w:rsidRPr="00C16956">
              <w:rPr>
                <w:rFonts w:ascii="Times New Roman" w:hAnsi="Times New Roman"/>
              </w:rPr>
              <w:t xml:space="preserve"> </w:t>
            </w:r>
            <w:r w:rsidR="00A368C3" w:rsidRPr="00C16956">
              <w:rPr>
                <w:rFonts w:ascii="Times New Roman" w:hAnsi="Times New Roman"/>
              </w:rPr>
              <w:t xml:space="preserve">poprzez </w:t>
            </w:r>
            <w:r w:rsidR="00060F88">
              <w:rPr>
                <w:rFonts w:ascii="Times New Roman" w:hAnsi="Times New Roman"/>
              </w:rPr>
              <w:t xml:space="preserve">zapewnienie </w:t>
            </w:r>
            <w:r w:rsidR="00060F88" w:rsidRPr="00C16956">
              <w:rPr>
                <w:rFonts w:ascii="Times New Roman" w:hAnsi="Times New Roman"/>
              </w:rPr>
              <w:t>cen</w:t>
            </w:r>
            <w:r w:rsidR="00060F88">
              <w:rPr>
                <w:rFonts w:ascii="Times New Roman" w:hAnsi="Times New Roman"/>
              </w:rPr>
              <w:t>y</w:t>
            </w:r>
            <w:r w:rsidR="00060F88" w:rsidRPr="00C16956">
              <w:rPr>
                <w:rFonts w:ascii="Times New Roman" w:hAnsi="Times New Roman"/>
              </w:rPr>
              <w:t xml:space="preserve"> </w:t>
            </w:r>
            <w:r w:rsidR="00A368C3" w:rsidRPr="00C16956">
              <w:rPr>
                <w:rFonts w:ascii="Times New Roman" w:hAnsi="Times New Roman"/>
              </w:rPr>
              <w:t>praw majątkowych wynikających ze świadectw pochodzenia</w:t>
            </w:r>
            <w:r w:rsidR="00060F88">
              <w:rPr>
                <w:rFonts w:ascii="Times New Roman" w:hAnsi="Times New Roman"/>
              </w:rPr>
              <w:t xml:space="preserve"> na odpowiednim poziomie</w:t>
            </w:r>
            <w:r w:rsidRPr="00C16956">
              <w:rPr>
                <w:rFonts w:ascii="Times New Roman" w:hAnsi="Times New Roman"/>
              </w:rPr>
              <w:t>.</w:t>
            </w:r>
          </w:p>
        </w:tc>
      </w:tr>
      <w:tr w:rsidR="006A701A" w:rsidRPr="00A87B3A" w14:paraId="6E8429F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6EFF483" w14:textId="77777777" w:rsidR="006A701A" w:rsidRPr="00A87B3A" w:rsidRDefault="0013216E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  <w:spacing w:val="-2"/>
              </w:rPr>
              <w:t>Rekomendowane rozwiązanie, w tym planowane narzędzia interwencji, i oczekiwany efekt</w:t>
            </w:r>
          </w:p>
        </w:tc>
      </w:tr>
      <w:tr w:rsidR="006A701A" w:rsidRPr="00A87B3A" w14:paraId="1C6658FE" w14:textId="77777777" w:rsidTr="00934308">
        <w:tblPrEx>
          <w:tblCellMar>
            <w:left w:w="70" w:type="dxa"/>
            <w:right w:w="70" w:type="dxa"/>
          </w:tblCellMar>
        </w:tblPrEx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23E50F3E" w14:textId="3E46887B" w:rsidR="004E2019" w:rsidRDefault="00931F21" w:rsidP="005D23A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bookmarkStart w:id="3" w:name="_Hlk136956173"/>
            <w:r w:rsidRPr="00C16956">
              <w:rPr>
                <w:rFonts w:ascii="Times New Roman" w:hAnsi="Times New Roman"/>
                <w:spacing w:val="-2"/>
              </w:rPr>
              <w:t>W 2023 r. obowiązek uzyskania i umorzenia świadectw pochodzenia dla zielonych certyfikatów wynosi</w:t>
            </w:r>
            <w:r w:rsidR="00A13FE9">
              <w:rPr>
                <w:rFonts w:ascii="Times New Roman" w:hAnsi="Times New Roman"/>
                <w:spacing w:val="-2"/>
              </w:rPr>
              <w:t>ł</w:t>
            </w:r>
            <w:r w:rsidR="00403CF1">
              <w:rPr>
                <w:rFonts w:ascii="Times New Roman" w:hAnsi="Times New Roman"/>
                <w:spacing w:val="-2"/>
              </w:rPr>
              <w:t xml:space="preserve"> </w:t>
            </w:r>
            <w:r w:rsidRPr="00C16956">
              <w:rPr>
                <w:rFonts w:ascii="Times New Roman" w:hAnsi="Times New Roman"/>
                <w:spacing w:val="-2"/>
              </w:rPr>
              <w:t>12%</w:t>
            </w:r>
            <w:r w:rsidR="004B7CAF">
              <w:rPr>
                <w:rFonts w:ascii="Times New Roman" w:hAnsi="Times New Roman"/>
                <w:spacing w:val="-2"/>
              </w:rPr>
              <w:t xml:space="preserve"> i był określony tylko w ujęciu rocznym</w:t>
            </w:r>
            <w:r w:rsidRPr="00C16956">
              <w:rPr>
                <w:rFonts w:ascii="Times New Roman" w:hAnsi="Times New Roman"/>
                <w:spacing w:val="-2"/>
              </w:rPr>
              <w:t>. Projektodawca proponuje</w:t>
            </w:r>
            <w:r w:rsidR="004B7CAF">
              <w:rPr>
                <w:rFonts w:ascii="Times New Roman" w:hAnsi="Times New Roman"/>
                <w:spacing w:val="-2"/>
              </w:rPr>
              <w:t>,</w:t>
            </w:r>
            <w:r w:rsidRPr="00C16956">
              <w:rPr>
                <w:rFonts w:ascii="Times New Roman" w:hAnsi="Times New Roman"/>
                <w:spacing w:val="-2"/>
              </w:rPr>
              <w:t xml:space="preserve"> </w:t>
            </w:r>
            <w:r w:rsidR="004B7CAF">
              <w:rPr>
                <w:rFonts w:ascii="Times New Roman" w:hAnsi="Times New Roman"/>
                <w:spacing w:val="-2"/>
              </w:rPr>
              <w:t>aby w celu zbudowania długofalowej perspektywy i przewidywalności rynku</w:t>
            </w:r>
            <w:r w:rsidR="00060F88">
              <w:rPr>
                <w:rFonts w:ascii="Times New Roman" w:hAnsi="Times New Roman"/>
                <w:spacing w:val="-2"/>
              </w:rPr>
              <w:t>,</w:t>
            </w:r>
            <w:r w:rsidR="003025CC">
              <w:rPr>
                <w:rFonts w:ascii="Times New Roman" w:hAnsi="Times New Roman"/>
                <w:spacing w:val="-2"/>
              </w:rPr>
              <w:t xml:space="preserve"> procedowany projekt</w:t>
            </w:r>
            <w:r w:rsidR="004B7CAF">
              <w:rPr>
                <w:rFonts w:ascii="Times New Roman" w:hAnsi="Times New Roman"/>
                <w:spacing w:val="-2"/>
              </w:rPr>
              <w:t xml:space="preserve"> </w:t>
            </w:r>
            <w:r w:rsidR="004E2019">
              <w:rPr>
                <w:rFonts w:ascii="Times New Roman" w:hAnsi="Times New Roman"/>
                <w:spacing w:val="-2"/>
              </w:rPr>
              <w:t>rozporządzen</w:t>
            </w:r>
            <w:r w:rsidR="003025CC">
              <w:rPr>
                <w:rFonts w:ascii="Times New Roman" w:hAnsi="Times New Roman"/>
                <w:spacing w:val="-2"/>
              </w:rPr>
              <w:t xml:space="preserve">ia </w:t>
            </w:r>
            <w:r w:rsidR="004E2019">
              <w:rPr>
                <w:rFonts w:ascii="Times New Roman" w:hAnsi="Times New Roman"/>
                <w:spacing w:val="-2"/>
              </w:rPr>
              <w:t xml:space="preserve">określał poziom obowiązku dla lat </w:t>
            </w:r>
            <w:r w:rsidR="00495D03" w:rsidRPr="00C16956">
              <w:rPr>
                <w:rFonts w:ascii="Times New Roman" w:hAnsi="Times New Roman"/>
                <w:spacing w:val="-2"/>
              </w:rPr>
              <w:t>2024</w:t>
            </w:r>
            <w:r w:rsidR="00060F88">
              <w:rPr>
                <w:rFonts w:ascii="Times New Roman" w:hAnsi="Times New Roman"/>
                <w:spacing w:val="-2"/>
              </w:rPr>
              <w:t>, 2025 i</w:t>
            </w:r>
            <w:r w:rsidR="0011620E" w:rsidRPr="00C16956">
              <w:rPr>
                <w:rFonts w:ascii="Times New Roman" w:hAnsi="Times New Roman"/>
                <w:spacing w:val="-2"/>
              </w:rPr>
              <w:t xml:space="preserve"> 2026</w:t>
            </w:r>
            <w:r w:rsidR="004E2019">
              <w:rPr>
                <w:rFonts w:ascii="Times New Roman" w:hAnsi="Times New Roman"/>
                <w:spacing w:val="-2"/>
              </w:rPr>
              <w:t>.</w:t>
            </w:r>
          </w:p>
          <w:bookmarkEnd w:id="3"/>
          <w:p w14:paraId="257D0434" w14:textId="2D8A177F" w:rsidR="004E2019" w:rsidRDefault="00060F88" w:rsidP="005D23A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Zakłada się ustalenie obowiązku na poziomie</w:t>
            </w:r>
            <w:r w:rsidR="004E2019">
              <w:rPr>
                <w:rFonts w:ascii="Times New Roman" w:hAnsi="Times New Roman"/>
                <w:spacing w:val="-2"/>
              </w:rPr>
              <w:t xml:space="preserve">: </w:t>
            </w:r>
            <w:r w:rsidR="0011620E" w:rsidRPr="00C16956">
              <w:rPr>
                <w:rFonts w:ascii="Times New Roman" w:hAnsi="Times New Roman"/>
                <w:spacing w:val="-2"/>
              </w:rPr>
              <w:t>1</w:t>
            </w:r>
            <w:r w:rsidR="00405EB3" w:rsidRPr="00C16956">
              <w:rPr>
                <w:rFonts w:ascii="Times New Roman" w:hAnsi="Times New Roman"/>
                <w:spacing w:val="-2"/>
              </w:rPr>
              <w:t>1</w:t>
            </w:r>
            <w:r w:rsidR="00495D03" w:rsidRPr="00C16956">
              <w:rPr>
                <w:rFonts w:ascii="Times New Roman" w:hAnsi="Times New Roman"/>
                <w:spacing w:val="-2"/>
              </w:rPr>
              <w:t>%</w:t>
            </w:r>
            <w:r w:rsidR="0011620E" w:rsidRPr="00C16956">
              <w:rPr>
                <w:rFonts w:ascii="Times New Roman" w:hAnsi="Times New Roman"/>
                <w:spacing w:val="-2"/>
              </w:rPr>
              <w:t xml:space="preserve"> w 2024</w:t>
            </w:r>
            <w:r w:rsidR="00931F21" w:rsidRPr="00C16956">
              <w:rPr>
                <w:rFonts w:ascii="Times New Roman" w:hAnsi="Times New Roman"/>
                <w:spacing w:val="-2"/>
              </w:rPr>
              <w:t xml:space="preserve"> r.</w:t>
            </w:r>
            <w:r w:rsidR="0011620E" w:rsidRPr="00C16956">
              <w:rPr>
                <w:rFonts w:ascii="Times New Roman" w:hAnsi="Times New Roman"/>
                <w:spacing w:val="-2"/>
              </w:rPr>
              <w:t xml:space="preserve">, </w:t>
            </w:r>
            <w:r w:rsidR="00405EB3" w:rsidRPr="00C16956">
              <w:rPr>
                <w:rFonts w:ascii="Times New Roman" w:hAnsi="Times New Roman"/>
                <w:spacing w:val="-2"/>
              </w:rPr>
              <w:t>10</w:t>
            </w:r>
            <w:r w:rsidR="0011620E" w:rsidRPr="00C16956">
              <w:rPr>
                <w:rFonts w:ascii="Times New Roman" w:hAnsi="Times New Roman"/>
                <w:spacing w:val="-2"/>
              </w:rPr>
              <w:t xml:space="preserve">% w 2025 </w:t>
            </w:r>
            <w:r w:rsidR="00931F21" w:rsidRPr="00C16956">
              <w:rPr>
                <w:rFonts w:ascii="Times New Roman" w:hAnsi="Times New Roman"/>
                <w:spacing w:val="-2"/>
              </w:rPr>
              <w:t xml:space="preserve">r. </w:t>
            </w:r>
            <w:r w:rsidR="004E2019">
              <w:rPr>
                <w:rFonts w:ascii="Times New Roman" w:hAnsi="Times New Roman"/>
                <w:spacing w:val="-2"/>
              </w:rPr>
              <w:t>oraz</w:t>
            </w:r>
            <w:r w:rsidR="0011620E" w:rsidRPr="00C16956">
              <w:rPr>
                <w:rFonts w:ascii="Times New Roman" w:hAnsi="Times New Roman"/>
                <w:spacing w:val="-2"/>
              </w:rPr>
              <w:t xml:space="preserve"> 9% w 2026</w:t>
            </w:r>
            <w:r w:rsidR="00931F21" w:rsidRPr="00C16956">
              <w:rPr>
                <w:rFonts w:ascii="Times New Roman" w:hAnsi="Times New Roman"/>
                <w:spacing w:val="-2"/>
              </w:rPr>
              <w:t xml:space="preserve"> r.</w:t>
            </w:r>
            <w:r w:rsidR="004E2019">
              <w:rPr>
                <w:rFonts w:ascii="Times New Roman" w:hAnsi="Times New Roman"/>
                <w:spacing w:val="-2"/>
              </w:rPr>
              <w:t>,</w:t>
            </w:r>
            <w:r w:rsidR="0011620E" w:rsidRPr="00C16956">
              <w:rPr>
                <w:rFonts w:ascii="Times New Roman" w:hAnsi="Times New Roman"/>
                <w:spacing w:val="-2"/>
              </w:rPr>
              <w:t xml:space="preserve"> </w:t>
            </w:r>
            <w:r w:rsidR="004E2019">
              <w:rPr>
                <w:rFonts w:ascii="Times New Roman" w:hAnsi="Times New Roman"/>
                <w:spacing w:val="-2"/>
              </w:rPr>
              <w:t xml:space="preserve">a także </w:t>
            </w:r>
            <w:r w:rsidR="00495D03" w:rsidRPr="00C16956">
              <w:rPr>
                <w:rFonts w:ascii="Times New Roman" w:hAnsi="Times New Roman"/>
                <w:spacing w:val="-2"/>
              </w:rPr>
              <w:t xml:space="preserve">utrzymanie obowiązku dla błękitnych certyfikatów na dotychczasowym poziomie (0,5%). </w:t>
            </w:r>
          </w:p>
          <w:p w14:paraId="03DD4DC6" w14:textId="4F8B68B5" w:rsidR="003025CC" w:rsidRDefault="00495D03" w:rsidP="005D23AD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C16956">
              <w:rPr>
                <w:rFonts w:ascii="Times New Roman" w:hAnsi="Times New Roman"/>
                <w:spacing w:val="-2"/>
              </w:rPr>
              <w:t>Do 202</w:t>
            </w:r>
            <w:r w:rsidR="003A48F4" w:rsidRPr="00C16956">
              <w:rPr>
                <w:rFonts w:ascii="Times New Roman" w:hAnsi="Times New Roman"/>
                <w:spacing w:val="-2"/>
              </w:rPr>
              <w:t>2</w:t>
            </w:r>
            <w:r w:rsidRPr="00C16956">
              <w:rPr>
                <w:rFonts w:ascii="Times New Roman" w:hAnsi="Times New Roman"/>
                <w:spacing w:val="-2"/>
              </w:rPr>
              <w:t xml:space="preserve"> r. </w:t>
            </w:r>
            <w:bookmarkStart w:id="4" w:name="_Hlk97287613"/>
            <w:r w:rsidRPr="00C16956">
              <w:rPr>
                <w:rFonts w:ascii="Times New Roman" w:hAnsi="Times New Roman"/>
                <w:spacing w:val="-2"/>
              </w:rPr>
              <w:t xml:space="preserve">kluczowym czynnikiem </w:t>
            </w:r>
            <w:r w:rsidR="003A48F4" w:rsidRPr="00C16956">
              <w:rPr>
                <w:rFonts w:ascii="Times New Roman" w:hAnsi="Times New Roman"/>
                <w:spacing w:val="-2"/>
              </w:rPr>
              <w:t xml:space="preserve">determinującym </w:t>
            </w:r>
            <w:r w:rsidR="00060F88">
              <w:rPr>
                <w:rFonts w:ascii="Times New Roman" w:hAnsi="Times New Roman"/>
                <w:spacing w:val="-2"/>
              </w:rPr>
              <w:t xml:space="preserve">podejście do ustalania </w:t>
            </w:r>
            <w:r w:rsidR="003A48F4" w:rsidRPr="00C16956">
              <w:rPr>
                <w:rFonts w:ascii="Times New Roman" w:hAnsi="Times New Roman"/>
                <w:spacing w:val="-2"/>
              </w:rPr>
              <w:t xml:space="preserve">wielkość obowiązku </w:t>
            </w:r>
            <w:r w:rsidR="00060F88">
              <w:rPr>
                <w:rFonts w:ascii="Times New Roman" w:hAnsi="Times New Roman"/>
                <w:spacing w:val="-2"/>
              </w:rPr>
              <w:t>była chęć</w:t>
            </w:r>
            <w:r w:rsidRPr="00C16956">
              <w:rPr>
                <w:rFonts w:ascii="Times New Roman" w:hAnsi="Times New Roman"/>
                <w:spacing w:val="-2"/>
              </w:rPr>
              <w:t xml:space="preserve"> eliminacji </w:t>
            </w:r>
            <w:r w:rsidR="00060F88">
              <w:rPr>
                <w:rFonts w:ascii="Times New Roman" w:hAnsi="Times New Roman"/>
                <w:spacing w:val="-2"/>
              </w:rPr>
              <w:t>występującej</w:t>
            </w:r>
            <w:r w:rsidR="00060F88" w:rsidRPr="0038578D">
              <w:rPr>
                <w:rFonts w:ascii="Times New Roman" w:hAnsi="Times New Roman"/>
                <w:spacing w:val="-2"/>
              </w:rPr>
              <w:t xml:space="preserve"> w ostatnich latach</w:t>
            </w:r>
            <w:r w:rsidR="00060F88" w:rsidRPr="00060F88">
              <w:rPr>
                <w:rFonts w:ascii="Times New Roman" w:hAnsi="Times New Roman"/>
                <w:spacing w:val="-2"/>
              </w:rPr>
              <w:t xml:space="preserve"> </w:t>
            </w:r>
            <w:r w:rsidRPr="00C16956">
              <w:rPr>
                <w:rFonts w:ascii="Times New Roman" w:hAnsi="Times New Roman"/>
                <w:spacing w:val="-2"/>
              </w:rPr>
              <w:t xml:space="preserve">nadpodaży świadectw </w:t>
            </w:r>
            <w:r w:rsidR="00060F88" w:rsidRPr="00C16956">
              <w:rPr>
                <w:rFonts w:ascii="Times New Roman" w:hAnsi="Times New Roman"/>
                <w:spacing w:val="-2"/>
              </w:rPr>
              <w:t>pochodzenia</w:t>
            </w:r>
            <w:bookmarkEnd w:id="4"/>
            <w:r w:rsidR="00060F88">
              <w:rPr>
                <w:rFonts w:ascii="Times New Roman" w:hAnsi="Times New Roman"/>
                <w:spacing w:val="-2"/>
              </w:rPr>
              <w:t>. P</w:t>
            </w:r>
            <w:r w:rsidR="00B87A43" w:rsidRPr="00C16956">
              <w:rPr>
                <w:rFonts w:ascii="Times New Roman" w:hAnsi="Times New Roman"/>
                <w:spacing w:val="-2"/>
              </w:rPr>
              <w:t xml:space="preserve">rzedmiotowa nadpodaż </w:t>
            </w:r>
            <w:r w:rsidR="00C720EB">
              <w:rPr>
                <w:rFonts w:ascii="Times New Roman" w:hAnsi="Times New Roman"/>
                <w:spacing w:val="-2"/>
              </w:rPr>
              <w:t>groziła</w:t>
            </w:r>
            <w:r w:rsidR="00B87A43" w:rsidRPr="00C16956">
              <w:rPr>
                <w:rFonts w:ascii="Times New Roman" w:hAnsi="Times New Roman"/>
                <w:spacing w:val="-2"/>
              </w:rPr>
              <w:t xml:space="preserve"> </w:t>
            </w:r>
            <w:r w:rsidR="00C720EB">
              <w:rPr>
                <w:rFonts w:ascii="Times New Roman" w:hAnsi="Times New Roman"/>
                <w:spacing w:val="-2"/>
              </w:rPr>
              <w:t>trwałą destabilizacją systemu wsparcia, co wiązałoby się z upadkiem dużej części wytwórców energii</w:t>
            </w:r>
            <w:r w:rsidRPr="00C16956">
              <w:rPr>
                <w:rFonts w:ascii="Times New Roman" w:hAnsi="Times New Roman"/>
                <w:spacing w:val="-2"/>
              </w:rPr>
              <w:t xml:space="preserve">. </w:t>
            </w:r>
            <w:r w:rsidR="00C720EB">
              <w:rPr>
                <w:rFonts w:ascii="Times New Roman" w:hAnsi="Times New Roman"/>
                <w:spacing w:val="-2"/>
              </w:rPr>
              <w:t>Aktualnie należy stwierdzić, że ryzyko występowania w systemie trwałej, dużej nadpodaży zostało opanowane</w:t>
            </w:r>
            <w:r w:rsidR="00A41F33" w:rsidRPr="00C16956">
              <w:rPr>
                <w:rFonts w:ascii="Times New Roman" w:hAnsi="Times New Roman"/>
                <w:spacing w:val="-2"/>
              </w:rPr>
              <w:t>.</w:t>
            </w:r>
          </w:p>
          <w:p w14:paraId="3B0A09DA" w14:textId="6A70A1A6" w:rsidR="008B324D" w:rsidRDefault="003025CC" w:rsidP="00C16956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06B61">
              <w:rPr>
                <w:rFonts w:ascii="Times New Roman" w:hAnsi="Times New Roman"/>
                <w:spacing w:val="-2"/>
              </w:rPr>
              <w:t xml:space="preserve">Obecne uwarunkowania rynkowe wyraźnie wskazują </w:t>
            </w:r>
            <w:r>
              <w:rPr>
                <w:rFonts w:ascii="Times New Roman" w:hAnsi="Times New Roman"/>
                <w:spacing w:val="-2"/>
              </w:rPr>
              <w:t xml:space="preserve">jednak </w:t>
            </w:r>
            <w:r w:rsidRPr="00806B61">
              <w:rPr>
                <w:rFonts w:ascii="Times New Roman" w:hAnsi="Times New Roman"/>
                <w:spacing w:val="-2"/>
              </w:rPr>
              <w:t xml:space="preserve">na potrzebę </w:t>
            </w:r>
            <w:r w:rsidR="000A277E">
              <w:rPr>
                <w:rFonts w:ascii="Times New Roman" w:hAnsi="Times New Roman"/>
                <w:spacing w:val="-2"/>
              </w:rPr>
              <w:t>zmniejszenia przedmiotowego</w:t>
            </w:r>
            <w:r w:rsidRPr="00806B61">
              <w:rPr>
                <w:rFonts w:ascii="Times New Roman" w:hAnsi="Times New Roman"/>
                <w:spacing w:val="-2"/>
              </w:rPr>
              <w:t xml:space="preserve"> obowiązku.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 w:rsidR="00B87A43" w:rsidRPr="00C16956">
              <w:rPr>
                <w:rFonts w:ascii="Times New Roman" w:hAnsi="Times New Roman"/>
                <w:spacing w:val="-2"/>
              </w:rPr>
              <w:t xml:space="preserve">W </w:t>
            </w:r>
            <w:r>
              <w:rPr>
                <w:rFonts w:ascii="Times New Roman" w:hAnsi="Times New Roman"/>
                <w:spacing w:val="-2"/>
              </w:rPr>
              <w:t xml:space="preserve">latach </w:t>
            </w:r>
            <w:r w:rsidR="00B87A43" w:rsidRPr="00C16956">
              <w:rPr>
                <w:rFonts w:ascii="Times New Roman" w:hAnsi="Times New Roman"/>
                <w:spacing w:val="-2"/>
              </w:rPr>
              <w:t>2024</w:t>
            </w:r>
            <w:r>
              <w:rPr>
                <w:rFonts w:ascii="Times New Roman" w:hAnsi="Times New Roman"/>
                <w:spacing w:val="-2"/>
              </w:rPr>
              <w:t xml:space="preserve">-2026 </w:t>
            </w:r>
            <w:r w:rsidR="00B87A43" w:rsidRPr="00C16956">
              <w:rPr>
                <w:rFonts w:ascii="Times New Roman" w:hAnsi="Times New Roman"/>
                <w:spacing w:val="-2"/>
              </w:rPr>
              <w:t xml:space="preserve">należy podjąć działania minimalizujące obciążenia </w:t>
            </w:r>
            <w:r>
              <w:rPr>
                <w:rFonts w:ascii="Times New Roman" w:hAnsi="Times New Roman"/>
                <w:spacing w:val="-2"/>
              </w:rPr>
              <w:t xml:space="preserve">gospodarki oraz </w:t>
            </w:r>
            <w:r w:rsidR="00B87A43" w:rsidRPr="00C16956">
              <w:rPr>
                <w:rFonts w:ascii="Times New Roman" w:hAnsi="Times New Roman"/>
                <w:spacing w:val="-2"/>
              </w:rPr>
              <w:t xml:space="preserve">odbiorców końcowych kosztami </w:t>
            </w:r>
            <w:r>
              <w:rPr>
                <w:rFonts w:ascii="Times New Roman" w:hAnsi="Times New Roman"/>
                <w:spacing w:val="-2"/>
              </w:rPr>
              <w:t xml:space="preserve">energii, w tym </w:t>
            </w:r>
            <w:r w:rsidR="00B87A43" w:rsidRPr="00C16956">
              <w:rPr>
                <w:rFonts w:ascii="Times New Roman" w:hAnsi="Times New Roman"/>
                <w:spacing w:val="-2"/>
              </w:rPr>
              <w:t>wynikającymi z funkcjonowania systemu świadectw pochodzenia</w:t>
            </w:r>
            <w:r>
              <w:rPr>
                <w:rFonts w:ascii="Times New Roman" w:hAnsi="Times New Roman"/>
                <w:spacing w:val="-2"/>
              </w:rPr>
              <w:t>.</w:t>
            </w:r>
            <w:r w:rsidR="00B87A43" w:rsidRPr="00C16956">
              <w:rPr>
                <w:rFonts w:ascii="Times New Roman" w:hAnsi="Times New Roman"/>
                <w:spacing w:val="-2"/>
              </w:rPr>
              <w:t xml:space="preserve"> Jako</w:t>
            </w:r>
            <w:r>
              <w:rPr>
                <w:rFonts w:ascii="Times New Roman" w:hAnsi="Times New Roman"/>
                <w:spacing w:val="-2"/>
              </w:rPr>
              <w:t>,</w:t>
            </w:r>
            <w:r w:rsidR="00B87A43" w:rsidRPr="00C16956">
              <w:rPr>
                <w:rFonts w:ascii="Times New Roman" w:hAnsi="Times New Roman"/>
                <w:spacing w:val="-2"/>
              </w:rPr>
              <w:t xml:space="preserve"> że n</w:t>
            </w:r>
            <w:r w:rsidR="00495D03" w:rsidRPr="00C16956">
              <w:rPr>
                <w:rFonts w:ascii="Times New Roman" w:hAnsi="Times New Roman"/>
                <w:spacing w:val="-2"/>
              </w:rPr>
              <w:t>adrzędnym celem niniejszego rozporządzenia jest utrzymanie odpowiedniego poziomu przychodów wytwórców OZE uczestniczących w przedmiotowym mechanizmie, przy jednoczesnym ograniczeniu obciążenia odbiorców końcowych</w:t>
            </w:r>
            <w:r w:rsidR="00295A1B" w:rsidRPr="00C16956">
              <w:rPr>
                <w:rFonts w:ascii="Times New Roman" w:hAnsi="Times New Roman"/>
                <w:spacing w:val="-2"/>
              </w:rPr>
              <w:t>,</w:t>
            </w:r>
            <w:r w:rsidR="0079446A" w:rsidRPr="00C16956">
              <w:rPr>
                <w:rFonts w:ascii="Times New Roman" w:hAnsi="Times New Roman"/>
                <w:spacing w:val="-2"/>
              </w:rPr>
              <w:t xml:space="preserve"> obniżanie poziomu obowiązku powinno mieć charakter stopniowy</w:t>
            </w:r>
            <w:r w:rsidR="008729C4">
              <w:rPr>
                <w:rFonts w:ascii="Times New Roman" w:hAnsi="Times New Roman"/>
                <w:spacing w:val="-2"/>
              </w:rPr>
              <w:t>,</w:t>
            </w:r>
            <w:r w:rsidR="0079446A" w:rsidRPr="00C16956">
              <w:rPr>
                <w:rFonts w:ascii="Times New Roman" w:hAnsi="Times New Roman"/>
                <w:spacing w:val="-2"/>
              </w:rPr>
              <w:t xml:space="preserve"> </w:t>
            </w:r>
            <w:r w:rsidR="00C720EB">
              <w:rPr>
                <w:rFonts w:ascii="Times New Roman" w:hAnsi="Times New Roman"/>
                <w:spacing w:val="-2"/>
              </w:rPr>
              <w:t>ale</w:t>
            </w:r>
            <w:r w:rsidR="0079446A" w:rsidRPr="00C16956">
              <w:rPr>
                <w:rFonts w:ascii="Times New Roman" w:hAnsi="Times New Roman"/>
                <w:spacing w:val="-2"/>
              </w:rPr>
              <w:t xml:space="preserve"> </w:t>
            </w:r>
            <w:r w:rsidR="00C720EB">
              <w:rPr>
                <w:rFonts w:ascii="Times New Roman" w:hAnsi="Times New Roman"/>
                <w:spacing w:val="-2"/>
              </w:rPr>
              <w:t>konsekwentny.</w:t>
            </w:r>
            <w:r w:rsidR="00931F21" w:rsidRPr="00C16956">
              <w:rPr>
                <w:rFonts w:ascii="Times New Roman" w:hAnsi="Times New Roman"/>
                <w:spacing w:val="-2"/>
              </w:rPr>
              <w:t xml:space="preserve"> </w:t>
            </w:r>
            <w:r w:rsidR="008729C4">
              <w:rPr>
                <w:rFonts w:ascii="Times New Roman" w:hAnsi="Times New Roman"/>
                <w:spacing w:val="-2"/>
              </w:rPr>
              <w:t>Tempo r</w:t>
            </w:r>
            <w:r w:rsidR="00C720EB">
              <w:rPr>
                <w:rFonts w:ascii="Times New Roman" w:hAnsi="Times New Roman"/>
                <w:spacing w:val="-2"/>
              </w:rPr>
              <w:t>edukcj</w:t>
            </w:r>
            <w:r w:rsidR="008729C4">
              <w:rPr>
                <w:rFonts w:ascii="Times New Roman" w:hAnsi="Times New Roman"/>
                <w:spacing w:val="-2"/>
              </w:rPr>
              <w:t>i</w:t>
            </w:r>
            <w:r w:rsidR="00C720EB">
              <w:rPr>
                <w:rFonts w:ascii="Times New Roman" w:hAnsi="Times New Roman"/>
                <w:spacing w:val="-2"/>
              </w:rPr>
              <w:t xml:space="preserve"> poziomu obowiązku powinn</w:t>
            </w:r>
            <w:r w:rsidR="008729C4">
              <w:rPr>
                <w:rFonts w:ascii="Times New Roman" w:hAnsi="Times New Roman"/>
                <w:spacing w:val="-2"/>
              </w:rPr>
              <w:t>o</w:t>
            </w:r>
            <w:r w:rsidR="00C720EB">
              <w:rPr>
                <w:rFonts w:ascii="Times New Roman" w:hAnsi="Times New Roman"/>
                <w:spacing w:val="-2"/>
              </w:rPr>
              <w:t xml:space="preserve"> opierać się na zmniejszającej się </w:t>
            </w:r>
            <w:r w:rsidR="0079446A" w:rsidRPr="00C16956">
              <w:rPr>
                <w:rFonts w:ascii="Times New Roman" w:hAnsi="Times New Roman"/>
                <w:spacing w:val="-2"/>
              </w:rPr>
              <w:t xml:space="preserve">podaży </w:t>
            </w:r>
            <w:r w:rsidR="00295A1B" w:rsidRPr="00C16956">
              <w:rPr>
                <w:rFonts w:ascii="Times New Roman" w:hAnsi="Times New Roman"/>
                <w:spacing w:val="-2"/>
              </w:rPr>
              <w:t xml:space="preserve">certyfikatów </w:t>
            </w:r>
            <w:r w:rsidR="0079446A" w:rsidRPr="00C16956">
              <w:rPr>
                <w:rFonts w:ascii="Times New Roman" w:hAnsi="Times New Roman"/>
                <w:spacing w:val="-2"/>
              </w:rPr>
              <w:t>wynikającej z zakończenia przewidzianego dla uczestników systemu</w:t>
            </w:r>
            <w:r w:rsidR="00931F21" w:rsidRPr="00C16956">
              <w:rPr>
                <w:rFonts w:ascii="Times New Roman" w:hAnsi="Times New Roman"/>
                <w:spacing w:val="-2"/>
              </w:rPr>
              <w:t xml:space="preserve"> 15-letniego okresu wsparcia oraz </w:t>
            </w:r>
            <w:r w:rsidR="00000C5E" w:rsidRPr="00C16956">
              <w:rPr>
                <w:rFonts w:ascii="Times New Roman" w:hAnsi="Times New Roman"/>
                <w:spacing w:val="-2"/>
              </w:rPr>
              <w:t>malejącej z tego powodu</w:t>
            </w:r>
            <w:r w:rsidR="00931F21" w:rsidRPr="00C16956">
              <w:rPr>
                <w:rFonts w:ascii="Times New Roman" w:hAnsi="Times New Roman"/>
                <w:spacing w:val="-2"/>
              </w:rPr>
              <w:t xml:space="preserve"> liczb</w:t>
            </w:r>
            <w:r w:rsidR="00000C5E" w:rsidRPr="00C16956">
              <w:rPr>
                <w:rFonts w:ascii="Times New Roman" w:hAnsi="Times New Roman"/>
                <w:spacing w:val="-2"/>
              </w:rPr>
              <w:t>y</w:t>
            </w:r>
            <w:r w:rsidR="00931F21" w:rsidRPr="00C16956">
              <w:rPr>
                <w:rFonts w:ascii="Times New Roman" w:hAnsi="Times New Roman"/>
                <w:spacing w:val="-2"/>
              </w:rPr>
              <w:t xml:space="preserve"> instalacji, którym </w:t>
            </w:r>
            <w:r w:rsidR="003849BA" w:rsidRPr="00C16956">
              <w:rPr>
                <w:rFonts w:ascii="Times New Roman" w:hAnsi="Times New Roman"/>
                <w:spacing w:val="-2"/>
              </w:rPr>
              <w:t>wsparcie</w:t>
            </w:r>
            <w:r w:rsidR="00931F21" w:rsidRPr="00C16956">
              <w:rPr>
                <w:rFonts w:ascii="Times New Roman" w:hAnsi="Times New Roman"/>
                <w:spacing w:val="-2"/>
              </w:rPr>
              <w:t xml:space="preserve"> </w:t>
            </w:r>
            <w:r w:rsidR="00D722F6">
              <w:rPr>
                <w:rFonts w:ascii="Times New Roman" w:hAnsi="Times New Roman"/>
                <w:spacing w:val="-2"/>
              </w:rPr>
              <w:t xml:space="preserve">nadal </w:t>
            </w:r>
            <w:r w:rsidR="00931F21" w:rsidRPr="00C16956">
              <w:rPr>
                <w:rFonts w:ascii="Times New Roman" w:hAnsi="Times New Roman"/>
                <w:spacing w:val="-2"/>
              </w:rPr>
              <w:t>przysługuje</w:t>
            </w:r>
            <w:r w:rsidR="00495D03" w:rsidRPr="00C16956">
              <w:rPr>
                <w:rFonts w:ascii="Times New Roman" w:hAnsi="Times New Roman"/>
                <w:spacing w:val="-2"/>
              </w:rPr>
              <w:t>.</w:t>
            </w:r>
            <w:r w:rsidR="00A41F33" w:rsidRPr="00C16956">
              <w:rPr>
                <w:rFonts w:ascii="Times New Roman" w:hAnsi="Times New Roman"/>
                <w:spacing w:val="-2"/>
              </w:rPr>
              <w:t xml:space="preserve"> </w:t>
            </w:r>
          </w:p>
          <w:p w14:paraId="4F86734A" w14:textId="68F14B0D" w:rsidR="008B324D" w:rsidRDefault="00A41F33" w:rsidP="00C16956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C16956">
              <w:rPr>
                <w:rFonts w:ascii="Times New Roman" w:hAnsi="Times New Roman"/>
                <w:spacing w:val="-2"/>
              </w:rPr>
              <w:t>W</w:t>
            </w:r>
            <w:r w:rsidR="00495D03" w:rsidRPr="00C16956">
              <w:rPr>
                <w:rFonts w:ascii="Times New Roman" w:hAnsi="Times New Roman"/>
                <w:spacing w:val="-2"/>
              </w:rPr>
              <w:t xml:space="preserve">ydanie rozporządzenia w odniesieniu do </w:t>
            </w:r>
            <w:r w:rsidRPr="00C16956">
              <w:rPr>
                <w:rFonts w:ascii="Times New Roman" w:hAnsi="Times New Roman"/>
                <w:spacing w:val="-2"/>
              </w:rPr>
              <w:t xml:space="preserve">trzyletniego okresu </w:t>
            </w:r>
            <w:r w:rsidR="005711DD" w:rsidRPr="00C16956">
              <w:rPr>
                <w:rFonts w:ascii="Times New Roman" w:hAnsi="Times New Roman"/>
                <w:spacing w:val="-2"/>
              </w:rPr>
              <w:t xml:space="preserve">regulacji </w:t>
            </w:r>
            <w:r w:rsidR="00931F21" w:rsidRPr="00C16956">
              <w:rPr>
                <w:rFonts w:ascii="Times New Roman" w:hAnsi="Times New Roman"/>
                <w:spacing w:val="-2"/>
              </w:rPr>
              <w:t xml:space="preserve">obejmującego lata </w:t>
            </w:r>
            <w:r w:rsidR="00495D03" w:rsidRPr="00C16956">
              <w:rPr>
                <w:rFonts w:ascii="Times New Roman" w:hAnsi="Times New Roman"/>
                <w:spacing w:val="-2"/>
              </w:rPr>
              <w:t>202</w:t>
            </w:r>
            <w:r w:rsidR="00CF413E" w:rsidRPr="00C16956">
              <w:rPr>
                <w:rFonts w:ascii="Times New Roman" w:hAnsi="Times New Roman"/>
                <w:spacing w:val="-2"/>
              </w:rPr>
              <w:t>4</w:t>
            </w:r>
            <w:r w:rsidR="00C720EB">
              <w:rPr>
                <w:rFonts w:ascii="Times New Roman" w:hAnsi="Times New Roman"/>
                <w:spacing w:val="-2"/>
              </w:rPr>
              <w:t xml:space="preserve">, 2025 i </w:t>
            </w:r>
            <w:r w:rsidRPr="00C16956">
              <w:rPr>
                <w:rFonts w:ascii="Times New Roman" w:hAnsi="Times New Roman"/>
                <w:spacing w:val="-2"/>
              </w:rPr>
              <w:t>2026</w:t>
            </w:r>
            <w:r w:rsidR="00295A1B" w:rsidRPr="00C16956">
              <w:rPr>
                <w:rFonts w:ascii="Times New Roman" w:hAnsi="Times New Roman"/>
                <w:spacing w:val="-2"/>
              </w:rPr>
              <w:t xml:space="preserve">, w którym to okresie obowiązek </w:t>
            </w:r>
            <w:r w:rsidR="00D722F6">
              <w:rPr>
                <w:rFonts w:ascii="Times New Roman" w:hAnsi="Times New Roman"/>
                <w:spacing w:val="-2"/>
              </w:rPr>
              <w:t xml:space="preserve">będzie </w:t>
            </w:r>
            <w:r w:rsidR="00295A1B" w:rsidRPr="00C16956">
              <w:rPr>
                <w:rFonts w:ascii="Times New Roman" w:hAnsi="Times New Roman"/>
                <w:spacing w:val="-2"/>
              </w:rPr>
              <w:t>male</w:t>
            </w:r>
            <w:r w:rsidR="00D722F6">
              <w:rPr>
                <w:rFonts w:ascii="Times New Roman" w:hAnsi="Times New Roman"/>
                <w:spacing w:val="-2"/>
              </w:rPr>
              <w:t>ć</w:t>
            </w:r>
            <w:r w:rsidR="00295A1B" w:rsidRPr="00C16956">
              <w:rPr>
                <w:rFonts w:ascii="Times New Roman" w:hAnsi="Times New Roman"/>
                <w:spacing w:val="-2"/>
              </w:rPr>
              <w:t xml:space="preserve"> z każdym rokiem o 1</w:t>
            </w:r>
            <w:r w:rsidR="00D722F6">
              <w:rPr>
                <w:rFonts w:ascii="Times New Roman" w:hAnsi="Times New Roman"/>
                <w:spacing w:val="-2"/>
              </w:rPr>
              <w:t xml:space="preserve"> </w:t>
            </w:r>
            <w:r w:rsidR="000A277E">
              <w:rPr>
                <w:rFonts w:ascii="Times New Roman" w:hAnsi="Times New Roman"/>
                <w:spacing w:val="-2"/>
              </w:rPr>
              <w:t xml:space="preserve">punkt procentowy </w:t>
            </w:r>
            <w:r w:rsidR="00295A1B" w:rsidRPr="00C16956">
              <w:rPr>
                <w:rFonts w:ascii="Times New Roman" w:hAnsi="Times New Roman"/>
                <w:spacing w:val="-2"/>
              </w:rPr>
              <w:t xml:space="preserve">wypełnia </w:t>
            </w:r>
            <w:r w:rsidR="00931F21" w:rsidRPr="00C16956">
              <w:rPr>
                <w:rFonts w:ascii="Times New Roman" w:hAnsi="Times New Roman"/>
                <w:spacing w:val="-2"/>
              </w:rPr>
              <w:t xml:space="preserve">wskazane </w:t>
            </w:r>
            <w:r w:rsidR="00295A1B" w:rsidRPr="00C16956">
              <w:rPr>
                <w:rFonts w:ascii="Times New Roman" w:hAnsi="Times New Roman"/>
                <w:spacing w:val="-2"/>
              </w:rPr>
              <w:t>przesłanki</w:t>
            </w:r>
            <w:r w:rsidR="003849BA" w:rsidRPr="00C16956">
              <w:rPr>
                <w:rFonts w:ascii="Times New Roman" w:hAnsi="Times New Roman"/>
                <w:spacing w:val="-2"/>
              </w:rPr>
              <w:t xml:space="preserve">. </w:t>
            </w:r>
            <w:r w:rsidR="00884900" w:rsidRPr="00C16956">
              <w:rPr>
                <w:rFonts w:ascii="Times New Roman" w:hAnsi="Times New Roman"/>
                <w:spacing w:val="-2"/>
              </w:rPr>
              <w:t xml:space="preserve">Sukcesywny i niewielki spadek obowiązku </w:t>
            </w:r>
            <w:r w:rsidR="00495D03" w:rsidRPr="00C16956">
              <w:rPr>
                <w:rFonts w:ascii="Times New Roman" w:hAnsi="Times New Roman"/>
                <w:spacing w:val="-2"/>
              </w:rPr>
              <w:t xml:space="preserve">uwzględnia sytuację na rynkach energii elektrycznej </w:t>
            </w:r>
            <w:r w:rsidR="00884900" w:rsidRPr="00C16956">
              <w:rPr>
                <w:rFonts w:ascii="Times New Roman" w:hAnsi="Times New Roman"/>
                <w:spacing w:val="-2"/>
              </w:rPr>
              <w:t>i</w:t>
            </w:r>
            <w:r w:rsidR="00495D03" w:rsidRPr="00C16956">
              <w:rPr>
                <w:rFonts w:ascii="Times New Roman" w:hAnsi="Times New Roman"/>
                <w:spacing w:val="-2"/>
              </w:rPr>
              <w:t xml:space="preserve"> zapewni odpowiednią rentowność instalacji OZE objętych </w:t>
            </w:r>
            <w:r w:rsidR="00295A1B" w:rsidRPr="00C16956">
              <w:rPr>
                <w:rFonts w:ascii="Times New Roman" w:hAnsi="Times New Roman"/>
                <w:spacing w:val="-2"/>
              </w:rPr>
              <w:t>przedmiotowym</w:t>
            </w:r>
            <w:r w:rsidR="00495D03" w:rsidRPr="00C16956">
              <w:rPr>
                <w:rFonts w:ascii="Times New Roman" w:hAnsi="Times New Roman"/>
                <w:spacing w:val="-2"/>
              </w:rPr>
              <w:t xml:space="preserve"> systemem wsparcia.</w:t>
            </w:r>
            <w:r w:rsidR="008B324D">
              <w:rPr>
                <w:rFonts w:ascii="Times New Roman" w:hAnsi="Times New Roman"/>
                <w:spacing w:val="-2"/>
              </w:rPr>
              <w:t xml:space="preserve"> Takie podejście ma także za cel stabilizować rynek zielonych </w:t>
            </w:r>
            <w:r w:rsidR="008B324D">
              <w:rPr>
                <w:rFonts w:ascii="Times New Roman" w:hAnsi="Times New Roman"/>
                <w:spacing w:val="-2"/>
              </w:rPr>
              <w:lastRenderedPageBreak/>
              <w:t>certyfikatów</w:t>
            </w:r>
            <w:r w:rsidR="0098230D">
              <w:rPr>
                <w:rFonts w:ascii="Times New Roman" w:hAnsi="Times New Roman"/>
                <w:spacing w:val="-2"/>
              </w:rPr>
              <w:t xml:space="preserve">, poprzez </w:t>
            </w:r>
            <w:r w:rsidR="008729C4">
              <w:rPr>
                <w:rFonts w:ascii="Times New Roman" w:hAnsi="Times New Roman"/>
                <w:spacing w:val="-2"/>
              </w:rPr>
              <w:t>wskazanie</w:t>
            </w:r>
            <w:r w:rsidR="0098230D">
              <w:rPr>
                <w:rFonts w:ascii="Times New Roman" w:hAnsi="Times New Roman"/>
                <w:spacing w:val="-2"/>
              </w:rPr>
              <w:t xml:space="preserve"> uczestnikom tego rynku jego przewidywalnej perspektywy </w:t>
            </w:r>
            <w:r w:rsidR="008B324D">
              <w:rPr>
                <w:rFonts w:ascii="Times New Roman" w:hAnsi="Times New Roman"/>
                <w:spacing w:val="-2"/>
              </w:rPr>
              <w:t>i zmitygować ryzyko dużych, corocznych wahań cen tych świadectw pochodzenia</w:t>
            </w:r>
            <w:r w:rsidR="0098230D">
              <w:rPr>
                <w:rFonts w:ascii="Times New Roman" w:hAnsi="Times New Roman"/>
                <w:spacing w:val="-2"/>
              </w:rPr>
              <w:t>.</w:t>
            </w:r>
            <w:r w:rsidR="008B324D">
              <w:rPr>
                <w:rFonts w:ascii="Times New Roman" w:hAnsi="Times New Roman"/>
                <w:spacing w:val="-2"/>
              </w:rPr>
              <w:t xml:space="preserve"> </w:t>
            </w:r>
          </w:p>
          <w:p w14:paraId="580F037D" w14:textId="7D2AE689" w:rsidR="00D722F6" w:rsidRPr="00C16956" w:rsidRDefault="00D722F6" w:rsidP="00C16956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  <w:u w:val="single"/>
              </w:rPr>
            </w:pPr>
            <w:r w:rsidRPr="00C16956">
              <w:rPr>
                <w:rFonts w:ascii="Times New Roman" w:hAnsi="Times New Roman"/>
                <w:spacing w:val="-2"/>
                <w:u w:val="single"/>
              </w:rPr>
              <w:t>Dodatkowe informacje:</w:t>
            </w:r>
          </w:p>
          <w:p w14:paraId="1A4A9D86" w14:textId="30A9A353" w:rsidR="00CA5C89" w:rsidRPr="00C16956" w:rsidRDefault="00EB451B" w:rsidP="00C16956">
            <w:pPr>
              <w:spacing w:after="120" w:line="240" w:lineRule="auto"/>
              <w:jc w:val="both"/>
              <w:rPr>
                <w:rFonts w:ascii="Times New Roman" w:hAnsi="Times New Roman"/>
                <w:b/>
                <w:bCs/>
                <w:spacing w:val="-2"/>
              </w:rPr>
            </w:pPr>
            <w:r w:rsidRPr="00C16956">
              <w:rPr>
                <w:rFonts w:ascii="Times New Roman" w:hAnsi="Times New Roman"/>
                <w:b/>
                <w:bCs/>
                <w:spacing w:val="-2"/>
              </w:rPr>
              <w:t>Funkcjonowanie systemu</w:t>
            </w:r>
          </w:p>
          <w:p w14:paraId="5DF80184" w14:textId="777D486B" w:rsidR="00EB451B" w:rsidRDefault="00EB451B" w:rsidP="00C16956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C16956">
              <w:rPr>
                <w:rFonts w:ascii="Times New Roman" w:hAnsi="Times New Roman"/>
                <w:spacing w:val="-2"/>
              </w:rPr>
              <w:t xml:space="preserve">Od 1 lipca 2016 r. wytwórcy energii w nowych instalacjach OZE </w:t>
            </w:r>
            <w:r w:rsidR="002E5A15" w:rsidRPr="00C16956">
              <w:rPr>
                <w:rFonts w:ascii="Times New Roman" w:hAnsi="Times New Roman"/>
                <w:spacing w:val="-2"/>
              </w:rPr>
              <w:t>utracili możliwość</w:t>
            </w:r>
            <w:r w:rsidRPr="00C16956">
              <w:rPr>
                <w:rFonts w:ascii="Times New Roman" w:hAnsi="Times New Roman"/>
                <w:spacing w:val="-2"/>
              </w:rPr>
              <w:t xml:space="preserve"> ubiega</w:t>
            </w:r>
            <w:r w:rsidR="002E5A15" w:rsidRPr="00C16956">
              <w:rPr>
                <w:rFonts w:ascii="Times New Roman" w:hAnsi="Times New Roman"/>
                <w:spacing w:val="-2"/>
              </w:rPr>
              <w:t xml:space="preserve">nia </w:t>
            </w:r>
            <w:r w:rsidRPr="00C16956">
              <w:rPr>
                <w:rFonts w:ascii="Times New Roman" w:hAnsi="Times New Roman"/>
                <w:spacing w:val="-2"/>
              </w:rPr>
              <w:t xml:space="preserve">się o </w:t>
            </w:r>
            <w:r w:rsidR="002E5A15" w:rsidRPr="00C16956">
              <w:rPr>
                <w:rFonts w:ascii="Times New Roman" w:hAnsi="Times New Roman"/>
                <w:spacing w:val="-2"/>
              </w:rPr>
              <w:t>zakwalifikowanie do</w:t>
            </w:r>
            <w:r w:rsidRPr="00C16956">
              <w:rPr>
                <w:rFonts w:ascii="Times New Roman" w:hAnsi="Times New Roman"/>
                <w:spacing w:val="-2"/>
              </w:rPr>
              <w:t xml:space="preserve"> systemu wsparcia opartego o świadectwa pochodzenia. Z kolei od 2020</w:t>
            </w:r>
            <w:r w:rsidR="000E7128" w:rsidRPr="00C16956">
              <w:rPr>
                <w:rFonts w:ascii="Times New Roman" w:hAnsi="Times New Roman"/>
                <w:spacing w:val="-2"/>
              </w:rPr>
              <w:t xml:space="preserve"> r.</w:t>
            </w:r>
            <w:r w:rsidRPr="00C16956">
              <w:rPr>
                <w:rFonts w:ascii="Times New Roman" w:hAnsi="Times New Roman"/>
                <w:spacing w:val="-2"/>
              </w:rPr>
              <w:t>, partycypację w systemie sukcesywnie kończą instalacje, którym upłynął 15-letni okres wsparcia. Jednocześnie funkcjonujące w nim instalacje</w:t>
            </w:r>
            <w:r w:rsidR="003D6EAF">
              <w:rPr>
                <w:rFonts w:ascii="Times New Roman" w:hAnsi="Times New Roman"/>
                <w:spacing w:val="-2"/>
              </w:rPr>
              <w:t xml:space="preserve">, zależnie od technologii </w:t>
            </w:r>
            <w:r w:rsidR="0098230D">
              <w:rPr>
                <w:rFonts w:ascii="Times New Roman" w:hAnsi="Times New Roman"/>
                <w:spacing w:val="-2"/>
              </w:rPr>
              <w:br/>
            </w:r>
            <w:r w:rsidR="003D6EAF">
              <w:rPr>
                <w:rFonts w:ascii="Times New Roman" w:hAnsi="Times New Roman"/>
                <w:spacing w:val="-2"/>
              </w:rPr>
              <w:t>i mocy zainstalowanej,</w:t>
            </w:r>
            <w:r w:rsidRPr="00C16956">
              <w:rPr>
                <w:rFonts w:ascii="Times New Roman" w:hAnsi="Times New Roman"/>
                <w:spacing w:val="-2"/>
              </w:rPr>
              <w:t xml:space="preserve"> mogą migrować do innych systemów wsparcia, tj. </w:t>
            </w:r>
            <w:r w:rsidR="00000C5E" w:rsidRPr="00C16956">
              <w:rPr>
                <w:rFonts w:ascii="Times New Roman" w:hAnsi="Times New Roman"/>
                <w:spacing w:val="-2"/>
              </w:rPr>
              <w:t xml:space="preserve">systemu FIT opartego na taryfach gwarantowanych, </w:t>
            </w:r>
            <w:r w:rsidR="0098230D" w:rsidRPr="00755F57">
              <w:rPr>
                <w:rFonts w:ascii="Times New Roman" w:hAnsi="Times New Roman"/>
                <w:spacing w:val="-2"/>
              </w:rPr>
              <w:t>systemu FIP opart</w:t>
            </w:r>
            <w:r w:rsidR="0098230D">
              <w:rPr>
                <w:rFonts w:ascii="Times New Roman" w:hAnsi="Times New Roman"/>
                <w:spacing w:val="-2"/>
              </w:rPr>
              <w:t>ego</w:t>
            </w:r>
            <w:r w:rsidR="0098230D" w:rsidRPr="00755F57">
              <w:rPr>
                <w:rFonts w:ascii="Times New Roman" w:hAnsi="Times New Roman"/>
                <w:spacing w:val="-2"/>
              </w:rPr>
              <w:t xml:space="preserve"> o dopłaty do cen rynkowych</w:t>
            </w:r>
            <w:r w:rsidR="0098230D" w:rsidRPr="0098230D">
              <w:rPr>
                <w:rFonts w:ascii="Times New Roman" w:hAnsi="Times New Roman"/>
                <w:spacing w:val="-2"/>
              </w:rPr>
              <w:t xml:space="preserve"> </w:t>
            </w:r>
            <w:r w:rsidR="00000C5E" w:rsidRPr="00C16956">
              <w:rPr>
                <w:rFonts w:ascii="Times New Roman" w:hAnsi="Times New Roman"/>
                <w:spacing w:val="-2"/>
              </w:rPr>
              <w:t xml:space="preserve">lub </w:t>
            </w:r>
            <w:r w:rsidRPr="00C16956">
              <w:rPr>
                <w:rFonts w:ascii="Times New Roman" w:hAnsi="Times New Roman"/>
                <w:spacing w:val="-2"/>
              </w:rPr>
              <w:t>systemu aukcyjnego</w:t>
            </w:r>
            <w:r w:rsidR="0098230D">
              <w:rPr>
                <w:rFonts w:ascii="Times New Roman" w:hAnsi="Times New Roman"/>
                <w:spacing w:val="-2"/>
              </w:rPr>
              <w:t>.</w:t>
            </w:r>
            <w:r w:rsidR="00C55D00" w:rsidRPr="00C16956">
              <w:rPr>
                <w:rFonts w:ascii="Times New Roman" w:hAnsi="Times New Roman"/>
                <w:spacing w:val="-2"/>
              </w:rPr>
              <w:t xml:space="preserve"> </w:t>
            </w:r>
            <w:r w:rsidRPr="00C16956">
              <w:rPr>
                <w:rFonts w:ascii="Times New Roman" w:hAnsi="Times New Roman"/>
                <w:spacing w:val="-2"/>
              </w:rPr>
              <w:t xml:space="preserve">Z uwagi na powyższe, szacuje się, że w latach 2023-2025 z systemu </w:t>
            </w:r>
            <w:r w:rsidR="000E7128" w:rsidRPr="00C16956">
              <w:rPr>
                <w:rFonts w:ascii="Times New Roman" w:hAnsi="Times New Roman"/>
                <w:spacing w:val="-2"/>
              </w:rPr>
              <w:t xml:space="preserve">wsparcia świadectw pochodzenia </w:t>
            </w:r>
            <w:r w:rsidRPr="00C16956">
              <w:rPr>
                <w:rFonts w:ascii="Times New Roman" w:hAnsi="Times New Roman"/>
                <w:spacing w:val="-2"/>
              </w:rPr>
              <w:t>wyjd</w:t>
            </w:r>
            <w:r w:rsidR="002873A0">
              <w:rPr>
                <w:rFonts w:ascii="Times New Roman" w:hAnsi="Times New Roman"/>
                <w:spacing w:val="-2"/>
              </w:rPr>
              <w:t>ą</w:t>
            </w:r>
            <w:r w:rsidRPr="00C16956">
              <w:rPr>
                <w:rFonts w:ascii="Times New Roman" w:hAnsi="Times New Roman"/>
                <w:spacing w:val="-2"/>
              </w:rPr>
              <w:t xml:space="preserve"> </w:t>
            </w:r>
            <w:r w:rsidR="002873A0">
              <w:rPr>
                <w:rFonts w:ascii="Times New Roman" w:hAnsi="Times New Roman"/>
                <w:spacing w:val="-2"/>
              </w:rPr>
              <w:t xml:space="preserve">instalacje OZE odpowiadające za </w:t>
            </w:r>
            <w:r w:rsidRPr="00C16956">
              <w:rPr>
                <w:rFonts w:ascii="Times New Roman" w:hAnsi="Times New Roman"/>
                <w:spacing w:val="-2"/>
              </w:rPr>
              <w:t>co najmniej 1 GW mocy</w:t>
            </w:r>
            <w:r w:rsidR="002873A0">
              <w:rPr>
                <w:rFonts w:ascii="Times New Roman" w:hAnsi="Times New Roman"/>
                <w:spacing w:val="-2"/>
              </w:rPr>
              <w:t xml:space="preserve"> zainstalowanej</w:t>
            </w:r>
            <w:r w:rsidRPr="00C16956">
              <w:rPr>
                <w:rFonts w:ascii="Times New Roman" w:hAnsi="Times New Roman"/>
                <w:spacing w:val="-2"/>
              </w:rPr>
              <w:t>. Należy zatem wskazać, że podaż certyfikatów w najbliższych latach zacznie sukcesywnie maleć.</w:t>
            </w:r>
          </w:p>
          <w:p w14:paraId="671A390E" w14:textId="77777777" w:rsidR="00CC2F3F" w:rsidRPr="00C16956" w:rsidRDefault="00CC2F3F" w:rsidP="00C16956">
            <w:pPr>
              <w:spacing w:after="120" w:line="240" w:lineRule="auto"/>
              <w:rPr>
                <w:rFonts w:ascii="Times New Roman" w:hAnsi="Times New Roman"/>
                <w:b/>
                <w:bCs/>
                <w:iCs/>
                <w:spacing w:val="-2"/>
              </w:rPr>
            </w:pPr>
            <w:r w:rsidRPr="00C16956">
              <w:rPr>
                <w:rFonts w:ascii="Times New Roman" w:hAnsi="Times New Roman"/>
                <w:b/>
                <w:bCs/>
                <w:iCs/>
                <w:spacing w:val="-2"/>
              </w:rPr>
              <w:t>Średnia cena roczna świadectw pochodzenia</w:t>
            </w:r>
          </w:p>
          <w:p w14:paraId="008EC5BF" w14:textId="402790E2" w:rsidR="00CC2F3F" w:rsidRPr="00C16956" w:rsidRDefault="00CC2F3F" w:rsidP="00C16956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C16956">
              <w:rPr>
                <w:rFonts w:ascii="Times New Roman" w:hAnsi="Times New Roman"/>
                <w:spacing w:val="-2"/>
              </w:rPr>
              <w:t xml:space="preserve">Po stabilizacji cen na rynku świadectw pochodzenia, mającej miejsce od końca 2018 r. do połowy roku 2021 (ok. 130–160 zł/MWh), w III kwartale 2021 r. rozpoczął się </w:t>
            </w:r>
            <w:r w:rsidR="0098230D">
              <w:rPr>
                <w:rFonts w:ascii="Times New Roman" w:hAnsi="Times New Roman"/>
                <w:spacing w:val="-2"/>
              </w:rPr>
              <w:t>silny</w:t>
            </w:r>
            <w:r w:rsidRPr="00C16956">
              <w:rPr>
                <w:rFonts w:ascii="Times New Roman" w:hAnsi="Times New Roman"/>
                <w:spacing w:val="-2"/>
              </w:rPr>
              <w:t xml:space="preserve"> wzrost cen zielonych certyfikatów, </w:t>
            </w:r>
            <w:r w:rsidR="000E7128" w:rsidRPr="00C16956">
              <w:rPr>
                <w:rFonts w:ascii="Times New Roman" w:hAnsi="Times New Roman"/>
                <w:spacing w:val="-2"/>
              </w:rPr>
              <w:t xml:space="preserve">które </w:t>
            </w:r>
            <w:r w:rsidRPr="00C16956">
              <w:rPr>
                <w:rFonts w:ascii="Times New Roman" w:hAnsi="Times New Roman"/>
                <w:spacing w:val="-2"/>
              </w:rPr>
              <w:t xml:space="preserve">w październiku 2021 r. jednostkowo (na pojedynczych sesjach) </w:t>
            </w:r>
            <w:r w:rsidR="000E7128" w:rsidRPr="00C16956">
              <w:rPr>
                <w:rFonts w:ascii="Times New Roman" w:hAnsi="Times New Roman"/>
                <w:spacing w:val="-2"/>
              </w:rPr>
              <w:t xml:space="preserve">osiągnęły </w:t>
            </w:r>
            <w:r w:rsidRPr="00C16956">
              <w:rPr>
                <w:rFonts w:ascii="Times New Roman" w:hAnsi="Times New Roman"/>
                <w:spacing w:val="-2"/>
              </w:rPr>
              <w:t>pułap 300 zł/MWh</w:t>
            </w:r>
            <w:r w:rsidR="00D722F6">
              <w:rPr>
                <w:rFonts w:ascii="Times New Roman" w:hAnsi="Times New Roman"/>
                <w:spacing w:val="-2"/>
              </w:rPr>
              <w:t>, a więc maksymalny</w:t>
            </w:r>
            <w:r w:rsidR="008729C4">
              <w:rPr>
                <w:rFonts w:ascii="Times New Roman" w:hAnsi="Times New Roman"/>
                <w:spacing w:val="-2"/>
              </w:rPr>
              <w:t>,</w:t>
            </w:r>
            <w:r w:rsidR="00D722F6">
              <w:rPr>
                <w:rFonts w:ascii="Times New Roman" w:hAnsi="Times New Roman"/>
                <w:spacing w:val="-2"/>
              </w:rPr>
              <w:t xml:space="preserve"> biorąc pod uwagę wysokoś</w:t>
            </w:r>
            <w:r w:rsidR="008729C4">
              <w:rPr>
                <w:rFonts w:ascii="Times New Roman" w:hAnsi="Times New Roman"/>
                <w:spacing w:val="-2"/>
              </w:rPr>
              <w:t>ć</w:t>
            </w:r>
            <w:r w:rsidR="00D722F6">
              <w:rPr>
                <w:rFonts w:ascii="Times New Roman" w:hAnsi="Times New Roman"/>
                <w:spacing w:val="-2"/>
              </w:rPr>
              <w:t xml:space="preserve"> opłaty zastępczej przewidzianej w ustawie OZE</w:t>
            </w:r>
            <w:r w:rsidRPr="00C16956">
              <w:rPr>
                <w:rFonts w:ascii="Times New Roman" w:hAnsi="Times New Roman"/>
                <w:spacing w:val="-2"/>
              </w:rPr>
              <w:t xml:space="preserve">. Pod koniec roku 2021 nastąpiło stopniowe obniżenie </w:t>
            </w:r>
            <w:r w:rsidR="000E7128" w:rsidRPr="00C16956">
              <w:rPr>
                <w:rFonts w:ascii="Times New Roman" w:hAnsi="Times New Roman"/>
                <w:spacing w:val="-2"/>
              </w:rPr>
              <w:t>ich cen</w:t>
            </w:r>
            <w:r w:rsidRPr="00C16956">
              <w:rPr>
                <w:rFonts w:ascii="Times New Roman" w:hAnsi="Times New Roman"/>
                <w:spacing w:val="-2"/>
              </w:rPr>
              <w:t xml:space="preserve">, </w:t>
            </w:r>
            <w:r w:rsidR="000E7128" w:rsidRPr="00C16956">
              <w:rPr>
                <w:rFonts w:ascii="Times New Roman" w:hAnsi="Times New Roman"/>
                <w:spacing w:val="-2"/>
              </w:rPr>
              <w:t xml:space="preserve">a następnie ustabilizowanie </w:t>
            </w:r>
            <w:r w:rsidR="00E76D60">
              <w:rPr>
                <w:rFonts w:ascii="Times New Roman" w:hAnsi="Times New Roman"/>
                <w:spacing w:val="-2"/>
              </w:rPr>
              <w:t xml:space="preserve">tych cen </w:t>
            </w:r>
            <w:r w:rsidR="000E7128" w:rsidRPr="00C16956">
              <w:rPr>
                <w:rFonts w:ascii="Times New Roman" w:hAnsi="Times New Roman"/>
                <w:spacing w:val="-2"/>
              </w:rPr>
              <w:t>na wyraźnie wyższym niż wcześniej poziomie</w:t>
            </w:r>
            <w:r w:rsidRPr="00C16956">
              <w:rPr>
                <w:rFonts w:ascii="Times New Roman" w:hAnsi="Times New Roman"/>
                <w:spacing w:val="-2"/>
              </w:rPr>
              <w:t xml:space="preserve"> (230-265 zł/MWh</w:t>
            </w:r>
            <w:r w:rsidR="000E7128" w:rsidRPr="00C16956">
              <w:rPr>
                <w:rFonts w:ascii="Times New Roman" w:hAnsi="Times New Roman"/>
                <w:spacing w:val="-2"/>
              </w:rPr>
              <w:t>)</w:t>
            </w:r>
            <w:r w:rsidR="00970BEF">
              <w:rPr>
                <w:rFonts w:ascii="Times New Roman" w:hAnsi="Times New Roman"/>
                <w:spacing w:val="-2"/>
              </w:rPr>
              <w:t>.</w:t>
            </w:r>
            <w:r w:rsidR="000E7128" w:rsidRPr="00C16956">
              <w:rPr>
                <w:rFonts w:ascii="Times New Roman" w:hAnsi="Times New Roman"/>
                <w:spacing w:val="-2"/>
              </w:rPr>
              <w:t xml:space="preserve"> Takie ceny</w:t>
            </w:r>
            <w:r w:rsidRPr="00C16956">
              <w:rPr>
                <w:rFonts w:ascii="Times New Roman" w:hAnsi="Times New Roman"/>
                <w:spacing w:val="-2"/>
              </w:rPr>
              <w:t xml:space="preserve"> utrzym</w:t>
            </w:r>
            <w:r w:rsidR="000E7128" w:rsidRPr="00C16956">
              <w:rPr>
                <w:rFonts w:ascii="Times New Roman" w:hAnsi="Times New Roman"/>
                <w:spacing w:val="-2"/>
              </w:rPr>
              <w:t>ały</w:t>
            </w:r>
            <w:r w:rsidRPr="00C16956">
              <w:rPr>
                <w:rFonts w:ascii="Times New Roman" w:hAnsi="Times New Roman"/>
                <w:spacing w:val="-2"/>
              </w:rPr>
              <w:t xml:space="preserve"> się od drugiej połowy stycznia 2022 r.</w:t>
            </w:r>
            <w:r w:rsidR="000E7128" w:rsidRPr="00C16956">
              <w:rPr>
                <w:rFonts w:ascii="Times New Roman" w:hAnsi="Times New Roman"/>
                <w:spacing w:val="-2"/>
              </w:rPr>
              <w:t xml:space="preserve"> </w:t>
            </w:r>
            <w:r w:rsidR="00FE2909" w:rsidRPr="00C16956">
              <w:rPr>
                <w:rFonts w:ascii="Times New Roman" w:hAnsi="Times New Roman"/>
                <w:spacing w:val="-2"/>
              </w:rPr>
              <w:t>Historyczne ś</w:t>
            </w:r>
            <w:r w:rsidR="00124955" w:rsidRPr="00C16956">
              <w:rPr>
                <w:rFonts w:ascii="Times New Roman" w:hAnsi="Times New Roman"/>
                <w:spacing w:val="-2"/>
              </w:rPr>
              <w:t>rednioroczne c</w:t>
            </w:r>
            <w:r w:rsidRPr="00C16956">
              <w:rPr>
                <w:rFonts w:ascii="Times New Roman" w:hAnsi="Times New Roman"/>
                <w:spacing w:val="-2"/>
              </w:rPr>
              <w:t>eny</w:t>
            </w:r>
            <w:r w:rsidR="00124955" w:rsidRPr="00E70FE3">
              <w:t xml:space="preserve"> </w:t>
            </w:r>
            <w:r w:rsidR="00124955" w:rsidRPr="00C16956">
              <w:rPr>
                <w:rFonts w:ascii="Times New Roman" w:hAnsi="Times New Roman"/>
                <w:spacing w:val="-2"/>
              </w:rPr>
              <w:t xml:space="preserve">praw majątkowych </w:t>
            </w:r>
            <w:r w:rsidR="00FE2909" w:rsidRPr="00C16956">
              <w:rPr>
                <w:rFonts w:ascii="Times New Roman" w:hAnsi="Times New Roman"/>
                <w:spacing w:val="-2"/>
              </w:rPr>
              <w:t>z lat ubiegłych</w:t>
            </w:r>
            <w:r w:rsidRPr="00C16956">
              <w:rPr>
                <w:rFonts w:ascii="Times New Roman" w:hAnsi="Times New Roman"/>
                <w:spacing w:val="-2"/>
              </w:rPr>
              <w:t xml:space="preserve"> zawiera poniższa tabela:</w:t>
            </w:r>
          </w:p>
          <w:p w14:paraId="393534A1" w14:textId="31F91625" w:rsidR="00CC2F3F" w:rsidRDefault="00CC2F3F" w:rsidP="00EB451B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  <w:tbl>
            <w:tblPr>
              <w:tblW w:w="103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91"/>
              <w:gridCol w:w="3760"/>
              <w:gridCol w:w="3619"/>
            </w:tblGrid>
            <w:tr w:rsidR="008B324D" w:rsidRPr="008B324D" w14:paraId="692FD975" w14:textId="77777777" w:rsidTr="00C16956">
              <w:trPr>
                <w:trHeight w:val="550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EB607F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Okres obowiązywania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5E1DC80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Średnia cena PMOZE i PMOZE_A* (PLN/MWh)</w:t>
                  </w:r>
                </w:p>
              </w:tc>
              <w:tc>
                <w:tcPr>
                  <w:tcW w:w="3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4D4F7B6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0"/>
                      <w:szCs w:val="20"/>
                      <w:lang w:eastAsia="pl-PL"/>
                    </w:rPr>
                    <w:t>Średnia cena PMOZE-BIO** (PLN/MWh)</w:t>
                  </w:r>
                </w:p>
              </w:tc>
            </w:tr>
            <w:tr w:rsidR="008B324D" w:rsidRPr="008B324D" w14:paraId="3C79DAB0" w14:textId="77777777" w:rsidTr="008B324D">
              <w:trPr>
                <w:trHeight w:val="275"/>
              </w:trPr>
              <w:tc>
                <w:tcPr>
                  <w:tcW w:w="29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B63D43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2015</w:t>
                  </w:r>
                </w:p>
              </w:tc>
              <w:tc>
                <w:tcPr>
                  <w:tcW w:w="3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59126C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123,6</w:t>
                  </w:r>
                </w:p>
              </w:tc>
              <w:tc>
                <w:tcPr>
                  <w:tcW w:w="3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24A667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-</w:t>
                  </w:r>
                </w:p>
              </w:tc>
            </w:tr>
            <w:tr w:rsidR="008B324D" w:rsidRPr="008B324D" w14:paraId="21337F75" w14:textId="77777777" w:rsidTr="00C16956">
              <w:trPr>
                <w:trHeight w:val="275"/>
              </w:trPr>
              <w:tc>
                <w:tcPr>
                  <w:tcW w:w="2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44C596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2016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CC749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73,63</w:t>
                  </w:r>
                </w:p>
              </w:tc>
              <w:tc>
                <w:tcPr>
                  <w:tcW w:w="3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6136A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295,52</w:t>
                  </w:r>
                </w:p>
              </w:tc>
            </w:tr>
            <w:tr w:rsidR="008B324D" w:rsidRPr="008B324D" w14:paraId="0AE27F9D" w14:textId="77777777" w:rsidTr="00C16956">
              <w:trPr>
                <w:trHeight w:val="275"/>
              </w:trPr>
              <w:tc>
                <w:tcPr>
                  <w:tcW w:w="2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AD7CF3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2017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F6120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38,83</w:t>
                  </w:r>
                </w:p>
              </w:tc>
              <w:tc>
                <w:tcPr>
                  <w:tcW w:w="3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5DE336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333,97</w:t>
                  </w:r>
                </w:p>
              </w:tc>
            </w:tr>
            <w:tr w:rsidR="008B324D" w:rsidRPr="008B324D" w14:paraId="5C769E3C" w14:textId="77777777" w:rsidTr="00C16956">
              <w:trPr>
                <w:trHeight w:val="275"/>
              </w:trPr>
              <w:tc>
                <w:tcPr>
                  <w:tcW w:w="2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465A37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2018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FFC1F3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103,82</w:t>
                  </w:r>
                </w:p>
              </w:tc>
              <w:tc>
                <w:tcPr>
                  <w:tcW w:w="3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C07C89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312,55</w:t>
                  </w:r>
                </w:p>
              </w:tc>
            </w:tr>
            <w:tr w:rsidR="008B324D" w:rsidRPr="008B324D" w14:paraId="325F8D89" w14:textId="77777777" w:rsidTr="00C16956">
              <w:trPr>
                <w:trHeight w:val="275"/>
              </w:trPr>
              <w:tc>
                <w:tcPr>
                  <w:tcW w:w="2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A15769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2019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A33B66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132,19</w:t>
                  </w:r>
                </w:p>
              </w:tc>
              <w:tc>
                <w:tcPr>
                  <w:tcW w:w="3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2A933E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300,11</w:t>
                  </w:r>
                </w:p>
              </w:tc>
            </w:tr>
            <w:tr w:rsidR="008B324D" w:rsidRPr="008B324D" w14:paraId="43BFE653" w14:textId="77777777" w:rsidTr="00C16956">
              <w:trPr>
                <w:trHeight w:val="275"/>
              </w:trPr>
              <w:tc>
                <w:tcPr>
                  <w:tcW w:w="2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59CB6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2020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19A0B9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138,21</w:t>
                  </w:r>
                </w:p>
              </w:tc>
              <w:tc>
                <w:tcPr>
                  <w:tcW w:w="3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7B24D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300,15</w:t>
                  </w:r>
                </w:p>
              </w:tc>
            </w:tr>
            <w:tr w:rsidR="008B324D" w:rsidRPr="008B324D" w14:paraId="3292EA0D" w14:textId="77777777" w:rsidTr="00C16956">
              <w:trPr>
                <w:trHeight w:val="275"/>
              </w:trPr>
              <w:tc>
                <w:tcPr>
                  <w:tcW w:w="2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F3DA64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2021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0DF8CF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191,89</w:t>
                  </w:r>
                </w:p>
              </w:tc>
              <w:tc>
                <w:tcPr>
                  <w:tcW w:w="3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0EE5CF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301,49</w:t>
                  </w:r>
                </w:p>
              </w:tc>
            </w:tr>
            <w:tr w:rsidR="008B324D" w:rsidRPr="008B324D" w14:paraId="6B8DE4C7" w14:textId="77777777" w:rsidTr="00C16956">
              <w:trPr>
                <w:trHeight w:val="275"/>
              </w:trPr>
              <w:tc>
                <w:tcPr>
                  <w:tcW w:w="29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29C2DF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2022</w:t>
                  </w:r>
                </w:p>
              </w:tc>
              <w:tc>
                <w:tcPr>
                  <w:tcW w:w="3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25D028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191,8</w:t>
                  </w:r>
                </w:p>
              </w:tc>
              <w:tc>
                <w:tcPr>
                  <w:tcW w:w="3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F84FE" w14:textId="77777777" w:rsidR="008B324D" w:rsidRPr="00C16956" w:rsidRDefault="008B324D" w:rsidP="00C16956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C16956">
                    <w:rPr>
                      <w:rFonts w:ascii="Times New Roman" w:eastAsia="Times New Roman" w:hAnsi="Times New Roman"/>
                      <w:color w:val="000000"/>
                      <w:sz w:val="20"/>
                      <w:szCs w:val="20"/>
                      <w:lang w:eastAsia="pl-PL"/>
                    </w:rPr>
                    <w:t>301,55</w:t>
                  </w:r>
                </w:p>
              </w:tc>
            </w:tr>
          </w:tbl>
          <w:p w14:paraId="187FEBE6" w14:textId="77777777" w:rsidR="008B324D" w:rsidRPr="00FE2CFC" w:rsidRDefault="008B324D" w:rsidP="008B324D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E2CFC">
              <w:rPr>
                <w:rFonts w:ascii="Times New Roman" w:hAnsi="Times New Roman"/>
                <w:spacing w:val="-2"/>
                <w:sz w:val="18"/>
                <w:szCs w:val="18"/>
              </w:rPr>
              <w:t>* Tzw. zielone certyfikaty</w:t>
            </w:r>
          </w:p>
          <w:p w14:paraId="7E8985E8" w14:textId="77777777" w:rsidR="008B324D" w:rsidRPr="00FE2CFC" w:rsidRDefault="008B324D" w:rsidP="008B324D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E2CFC">
              <w:rPr>
                <w:rFonts w:ascii="Times New Roman" w:hAnsi="Times New Roman"/>
                <w:spacing w:val="-2"/>
                <w:sz w:val="18"/>
                <w:szCs w:val="18"/>
              </w:rPr>
              <w:t>** Tzw. błękitne certyfikaty</w:t>
            </w:r>
          </w:p>
          <w:p w14:paraId="7CE30DB0" w14:textId="77777777" w:rsidR="008B324D" w:rsidRPr="00FE2CFC" w:rsidRDefault="008B324D" w:rsidP="008B324D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FE2CFC">
              <w:rPr>
                <w:rFonts w:ascii="Times New Roman" w:hAnsi="Times New Roman"/>
                <w:spacing w:val="-2"/>
                <w:sz w:val="18"/>
                <w:szCs w:val="18"/>
              </w:rPr>
              <w:t>Źródło: Towarowa Giełda Energii S.A.</w:t>
            </w:r>
          </w:p>
          <w:p w14:paraId="3BD35498" w14:textId="77777777" w:rsidR="008B324D" w:rsidRPr="00C16956" w:rsidRDefault="008B324D" w:rsidP="00EB451B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  <w:p w14:paraId="78197833" w14:textId="06688873" w:rsidR="00CC2F3F" w:rsidRDefault="00CC2F3F" w:rsidP="00CC2F3F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C16956">
              <w:rPr>
                <w:rFonts w:ascii="Times New Roman" w:hAnsi="Times New Roman"/>
                <w:spacing w:val="-2"/>
              </w:rPr>
              <w:t xml:space="preserve">W kontekście cen zielonych certyfikatów w 2022 r. łączny wolumen obrotu prawami majątkowymi dla energii elektrycznej </w:t>
            </w:r>
            <w:r w:rsidR="00E76D60">
              <w:rPr>
                <w:rFonts w:ascii="Times New Roman" w:hAnsi="Times New Roman"/>
                <w:spacing w:val="-2"/>
              </w:rPr>
              <w:br/>
            </w:r>
            <w:r w:rsidRPr="00C16956">
              <w:rPr>
                <w:rFonts w:ascii="Times New Roman" w:hAnsi="Times New Roman"/>
                <w:spacing w:val="-2"/>
              </w:rPr>
              <w:t xml:space="preserve">z OZE wyniósł 24 764 739 MWh co stanowi spadek r/r o 4,4 punkty procentowe. Cena średnioważona na sesjach RPM wyniosła w 2022 r. dla instrumentu PMOZE_A 191,80 zł/MWh czyli o ok. 0,07 zł/MWh mniej w porównaniu do roku </w:t>
            </w:r>
            <w:r w:rsidR="00E76D60" w:rsidRPr="00C16956">
              <w:rPr>
                <w:rFonts w:ascii="Times New Roman" w:hAnsi="Times New Roman"/>
                <w:spacing w:val="-2"/>
              </w:rPr>
              <w:t>2021</w:t>
            </w:r>
            <w:r w:rsidR="00E76D60">
              <w:rPr>
                <w:rFonts w:ascii="Times New Roman" w:hAnsi="Times New Roman"/>
                <w:spacing w:val="-2"/>
              </w:rPr>
              <w:t> </w:t>
            </w:r>
            <w:r w:rsidRPr="00C16956">
              <w:rPr>
                <w:rFonts w:ascii="Times New Roman" w:hAnsi="Times New Roman"/>
                <w:spacing w:val="-2"/>
              </w:rPr>
              <w:t>r. Zakłada się w latach 2024-2026 zachowanie podobnej stabilnej tendencji dla popytu i podaży zielonych certyfikatów. Obniżenie</w:t>
            </w:r>
            <w:r w:rsidR="00941B9A" w:rsidRPr="00C16956">
              <w:rPr>
                <w:rFonts w:ascii="Times New Roman" w:hAnsi="Times New Roman"/>
                <w:spacing w:val="-2"/>
              </w:rPr>
              <w:t xml:space="preserve"> w </w:t>
            </w:r>
            <w:r w:rsidR="00B65CB8" w:rsidRPr="00C16956">
              <w:rPr>
                <w:rFonts w:ascii="Times New Roman" w:hAnsi="Times New Roman"/>
                <w:spacing w:val="-2"/>
              </w:rPr>
              <w:t xml:space="preserve">lipcu </w:t>
            </w:r>
            <w:r w:rsidR="00941B9A" w:rsidRPr="00C16956">
              <w:rPr>
                <w:rFonts w:ascii="Times New Roman" w:hAnsi="Times New Roman"/>
                <w:spacing w:val="-2"/>
              </w:rPr>
              <w:t>2022 r.</w:t>
            </w:r>
            <w:r w:rsidRPr="00C16956">
              <w:rPr>
                <w:rFonts w:ascii="Times New Roman" w:hAnsi="Times New Roman"/>
                <w:spacing w:val="-2"/>
              </w:rPr>
              <w:t xml:space="preserve"> poziomu obowiązku na 2023 </w:t>
            </w:r>
            <w:r w:rsidR="00124955" w:rsidRPr="00C16956">
              <w:rPr>
                <w:rFonts w:ascii="Times New Roman" w:hAnsi="Times New Roman"/>
                <w:spacing w:val="-2"/>
              </w:rPr>
              <w:t>r. nie wywołało gwałtownych zmian na rynku, pozwalając jednocześnie</w:t>
            </w:r>
            <w:r w:rsidRPr="00C16956">
              <w:rPr>
                <w:rFonts w:ascii="Times New Roman" w:hAnsi="Times New Roman"/>
                <w:spacing w:val="-2"/>
              </w:rPr>
              <w:t xml:space="preserve"> </w:t>
            </w:r>
            <w:r w:rsidR="00124955" w:rsidRPr="00C16956">
              <w:rPr>
                <w:rFonts w:ascii="Times New Roman" w:hAnsi="Times New Roman"/>
                <w:spacing w:val="-2"/>
              </w:rPr>
              <w:t xml:space="preserve">na </w:t>
            </w:r>
            <w:r w:rsidRPr="00C16956">
              <w:rPr>
                <w:rFonts w:ascii="Times New Roman" w:hAnsi="Times New Roman"/>
                <w:spacing w:val="-2"/>
              </w:rPr>
              <w:t>zniwelowa</w:t>
            </w:r>
            <w:r w:rsidR="00124955" w:rsidRPr="00C16956">
              <w:rPr>
                <w:rFonts w:ascii="Times New Roman" w:hAnsi="Times New Roman"/>
                <w:spacing w:val="-2"/>
              </w:rPr>
              <w:t>nie</w:t>
            </w:r>
            <w:r w:rsidRPr="00C16956">
              <w:rPr>
                <w:rFonts w:ascii="Times New Roman" w:hAnsi="Times New Roman"/>
                <w:spacing w:val="-2"/>
              </w:rPr>
              <w:t xml:space="preserve"> wzrost</w:t>
            </w:r>
            <w:r w:rsidR="00124955" w:rsidRPr="00C16956">
              <w:rPr>
                <w:rFonts w:ascii="Times New Roman" w:hAnsi="Times New Roman"/>
                <w:spacing w:val="-2"/>
              </w:rPr>
              <w:t>u</w:t>
            </w:r>
            <w:r w:rsidRPr="00C16956">
              <w:rPr>
                <w:rFonts w:ascii="Times New Roman" w:hAnsi="Times New Roman"/>
                <w:spacing w:val="-2"/>
              </w:rPr>
              <w:t xml:space="preserve"> cen zielonych certyfikatów</w:t>
            </w:r>
            <w:r w:rsidR="00941B9A" w:rsidRPr="00C16956">
              <w:rPr>
                <w:rFonts w:ascii="Times New Roman" w:hAnsi="Times New Roman"/>
                <w:spacing w:val="-2"/>
              </w:rPr>
              <w:t xml:space="preserve"> </w:t>
            </w:r>
            <w:r w:rsidR="00B65CB8" w:rsidRPr="00C16956">
              <w:rPr>
                <w:rFonts w:ascii="Times New Roman" w:hAnsi="Times New Roman"/>
                <w:spacing w:val="-2"/>
              </w:rPr>
              <w:t>w II półroczu 2022 r</w:t>
            </w:r>
            <w:r w:rsidR="00941B9A" w:rsidRPr="00C16956">
              <w:rPr>
                <w:rFonts w:ascii="Times New Roman" w:hAnsi="Times New Roman"/>
                <w:spacing w:val="-2"/>
              </w:rPr>
              <w:t>.</w:t>
            </w:r>
            <w:r w:rsidRPr="00C16956">
              <w:rPr>
                <w:rFonts w:ascii="Times New Roman" w:hAnsi="Times New Roman"/>
                <w:spacing w:val="-2"/>
              </w:rPr>
              <w:t xml:space="preserve"> </w:t>
            </w:r>
            <w:r w:rsidR="008729C4">
              <w:rPr>
                <w:rFonts w:ascii="Times New Roman" w:hAnsi="Times New Roman"/>
                <w:spacing w:val="-2"/>
              </w:rPr>
              <w:t>W</w:t>
            </w:r>
            <w:r w:rsidRPr="00C16956">
              <w:rPr>
                <w:rFonts w:ascii="Times New Roman" w:hAnsi="Times New Roman"/>
                <w:spacing w:val="-2"/>
              </w:rPr>
              <w:t xml:space="preserve"> pierwszym kwartale 2023 roku</w:t>
            </w:r>
            <w:r w:rsidR="008729C4">
              <w:rPr>
                <w:rFonts w:ascii="Times New Roman" w:hAnsi="Times New Roman"/>
                <w:spacing w:val="-2"/>
              </w:rPr>
              <w:t xml:space="preserve"> widoczny był natomiast wzrost cen</w:t>
            </w:r>
            <w:r w:rsidRPr="00C16956">
              <w:rPr>
                <w:rFonts w:ascii="Times New Roman" w:hAnsi="Times New Roman"/>
                <w:spacing w:val="-2"/>
              </w:rPr>
              <w:t>, co wskazuje poniższa tabela:</w:t>
            </w:r>
            <w:r w:rsidR="008B324D">
              <w:rPr>
                <w:rFonts w:ascii="Times New Roman" w:hAnsi="Times New Roman"/>
                <w:spacing w:val="-2"/>
              </w:rPr>
              <w:t>.</w:t>
            </w:r>
          </w:p>
          <w:p w14:paraId="40C9D2B3" w14:textId="77777777" w:rsidR="008B324D" w:rsidRDefault="008B324D" w:rsidP="00CC2F3F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  <w:tbl>
            <w:tblPr>
              <w:tblW w:w="1021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46"/>
              <w:gridCol w:w="3703"/>
              <w:gridCol w:w="3563"/>
            </w:tblGrid>
            <w:tr w:rsidR="008B324D" w:rsidRPr="008B324D" w14:paraId="0E594842" w14:textId="77777777" w:rsidTr="00C16956">
              <w:trPr>
                <w:trHeight w:val="552"/>
              </w:trPr>
              <w:tc>
                <w:tcPr>
                  <w:tcW w:w="29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F329EB" w14:textId="77777777" w:rsidR="008B324D" w:rsidRPr="008B324D" w:rsidRDefault="008B324D" w:rsidP="008B324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8B324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Okres obowiązywania</w:t>
                  </w:r>
                </w:p>
              </w:tc>
              <w:tc>
                <w:tcPr>
                  <w:tcW w:w="3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BD610" w14:textId="77777777" w:rsidR="008B324D" w:rsidRPr="008B324D" w:rsidRDefault="008B324D" w:rsidP="008B324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8B324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Średnia cena PMOZE i PMOZE_A* (PLN/MWh)</w:t>
                  </w:r>
                </w:p>
              </w:tc>
              <w:tc>
                <w:tcPr>
                  <w:tcW w:w="3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701EC5" w14:textId="77777777" w:rsidR="008B324D" w:rsidRPr="008B324D" w:rsidRDefault="008B324D" w:rsidP="008B324D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8B324D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pl-PL"/>
                    </w:rPr>
                    <w:t>Średnia cena PMOZE-BIO** (PLN/MWh)</w:t>
                  </w:r>
                </w:p>
              </w:tc>
            </w:tr>
            <w:tr w:rsidR="000A277E" w:rsidRPr="008B324D" w14:paraId="5F02C8A0" w14:textId="77777777" w:rsidTr="00C16956">
              <w:trPr>
                <w:trHeight w:val="301"/>
              </w:trPr>
              <w:tc>
                <w:tcPr>
                  <w:tcW w:w="2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235B38B" w14:textId="79DD04B4" w:rsidR="000A277E" w:rsidRPr="008B324D" w:rsidRDefault="000A277E" w:rsidP="000A277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styczeń </w:t>
                  </w:r>
                  <w:r w:rsidRPr="008B324D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23</w:t>
                  </w: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58B60" w14:textId="77777777" w:rsidR="000A277E" w:rsidRPr="008B324D" w:rsidRDefault="000A277E" w:rsidP="000A277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8B324D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171,27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30BE56" w14:textId="77777777" w:rsidR="000A277E" w:rsidRPr="008B324D" w:rsidRDefault="000A277E" w:rsidP="000A277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8B324D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300,21</w:t>
                  </w:r>
                </w:p>
              </w:tc>
            </w:tr>
            <w:tr w:rsidR="000A277E" w:rsidRPr="008B324D" w14:paraId="20FD975A" w14:textId="77777777" w:rsidTr="00C16956">
              <w:trPr>
                <w:trHeight w:val="301"/>
              </w:trPr>
              <w:tc>
                <w:tcPr>
                  <w:tcW w:w="2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D784CF" w14:textId="3F182696" w:rsidR="000A277E" w:rsidRPr="008B324D" w:rsidRDefault="000A277E" w:rsidP="000A277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luty </w:t>
                  </w:r>
                  <w:r w:rsidRPr="008B324D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23</w:t>
                  </w: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0EB524" w14:textId="77777777" w:rsidR="000A277E" w:rsidRPr="008B324D" w:rsidRDefault="000A277E" w:rsidP="000A277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8B324D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190,49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480BE9" w14:textId="77777777" w:rsidR="000A277E" w:rsidRPr="008B324D" w:rsidRDefault="000A277E" w:rsidP="000A277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8B324D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300,15</w:t>
                  </w:r>
                </w:p>
              </w:tc>
            </w:tr>
            <w:tr w:rsidR="000A277E" w:rsidRPr="008B324D" w14:paraId="75094306" w14:textId="77777777" w:rsidTr="00C16956">
              <w:trPr>
                <w:trHeight w:val="301"/>
              </w:trPr>
              <w:tc>
                <w:tcPr>
                  <w:tcW w:w="2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429E5" w14:textId="6BCA1B4D" w:rsidR="000A277E" w:rsidRPr="008B324D" w:rsidRDefault="000A277E" w:rsidP="000A277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marzec </w:t>
                  </w:r>
                  <w:r w:rsidRPr="008B324D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23</w:t>
                  </w: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E80AA3" w14:textId="77777777" w:rsidR="000A277E" w:rsidRPr="008B324D" w:rsidRDefault="000A277E" w:rsidP="000A277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8B324D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209,72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CDDE4" w14:textId="77777777" w:rsidR="000A277E" w:rsidRPr="008B324D" w:rsidRDefault="000A277E" w:rsidP="000A277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8B324D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300,19</w:t>
                  </w:r>
                </w:p>
              </w:tc>
            </w:tr>
            <w:tr w:rsidR="000A277E" w:rsidRPr="008B324D" w14:paraId="50D7EDC7" w14:textId="77777777" w:rsidTr="00C16956">
              <w:trPr>
                <w:trHeight w:val="301"/>
              </w:trPr>
              <w:tc>
                <w:tcPr>
                  <w:tcW w:w="29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5D3D27" w14:textId="1196E1DD" w:rsidR="000A277E" w:rsidRPr="008B324D" w:rsidRDefault="000A277E" w:rsidP="000A277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 xml:space="preserve">kwiecień </w:t>
                  </w:r>
                  <w:r w:rsidRPr="008B324D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23</w:t>
                  </w:r>
                </w:p>
              </w:tc>
              <w:tc>
                <w:tcPr>
                  <w:tcW w:w="3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000AAA" w14:textId="77777777" w:rsidR="000A277E" w:rsidRPr="008B324D" w:rsidRDefault="000A277E" w:rsidP="000A277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8B324D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218,69</w:t>
                  </w:r>
                </w:p>
              </w:tc>
              <w:tc>
                <w:tcPr>
                  <w:tcW w:w="35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A5DB3A" w14:textId="77777777" w:rsidR="000A277E" w:rsidRPr="008B324D" w:rsidRDefault="000A277E" w:rsidP="000A277E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</w:pPr>
                  <w:r w:rsidRPr="008B324D">
                    <w:rPr>
                      <w:rFonts w:ascii="Times New Roman" w:eastAsia="Times New Roman" w:hAnsi="Times New Roman"/>
                      <w:sz w:val="20"/>
                      <w:szCs w:val="20"/>
                      <w:lang w:eastAsia="pl-PL"/>
                    </w:rPr>
                    <w:t>300,17</w:t>
                  </w:r>
                </w:p>
              </w:tc>
            </w:tr>
          </w:tbl>
          <w:p w14:paraId="2651DB30" w14:textId="5841E517" w:rsidR="00466E60" w:rsidRPr="00C16956" w:rsidRDefault="00466E60" w:rsidP="00466E60">
            <w:pPr>
              <w:spacing w:line="240" w:lineRule="auto"/>
              <w:jc w:val="both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C16956">
              <w:rPr>
                <w:rFonts w:ascii="Times New Roman" w:hAnsi="Times New Roman"/>
                <w:spacing w:val="-2"/>
                <w:sz w:val="18"/>
                <w:szCs w:val="18"/>
              </w:rPr>
              <w:t>Źródło: Towarowa Giełda Energii S.A.</w:t>
            </w:r>
          </w:p>
          <w:p w14:paraId="6E6B02DA" w14:textId="77777777" w:rsidR="00173A42" w:rsidRPr="00C16956" w:rsidRDefault="00173A42" w:rsidP="00CA5C89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  <w:p w14:paraId="6AEA4A42" w14:textId="07E270C1" w:rsidR="00F01E7C" w:rsidRPr="00C16956" w:rsidRDefault="00D722F6" w:rsidP="00C16956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W</w:t>
            </w:r>
            <w:r w:rsidR="00CA5C89" w:rsidRPr="00C16956">
              <w:rPr>
                <w:rFonts w:ascii="Times New Roman" w:hAnsi="Times New Roman"/>
                <w:spacing w:val="-2"/>
              </w:rPr>
              <w:t xml:space="preserve">ydanie proponowanej regulacji </w:t>
            </w:r>
            <w:r>
              <w:rPr>
                <w:rFonts w:ascii="Times New Roman" w:hAnsi="Times New Roman"/>
                <w:spacing w:val="-2"/>
              </w:rPr>
              <w:t xml:space="preserve">obejmującej perspektywę trzyletnią, </w:t>
            </w:r>
            <w:r w:rsidR="00CA5C89" w:rsidRPr="00C16956">
              <w:rPr>
                <w:rFonts w:ascii="Times New Roman" w:hAnsi="Times New Roman"/>
                <w:spacing w:val="-2"/>
              </w:rPr>
              <w:t xml:space="preserve">powinno zapobiec </w:t>
            </w:r>
            <w:r w:rsidR="00621F37">
              <w:rPr>
                <w:rFonts w:ascii="Times New Roman" w:hAnsi="Times New Roman"/>
                <w:spacing w:val="-2"/>
              </w:rPr>
              <w:t xml:space="preserve">powstawaniu </w:t>
            </w:r>
            <w:r w:rsidR="00E76D60">
              <w:rPr>
                <w:rFonts w:ascii="Times New Roman" w:hAnsi="Times New Roman"/>
                <w:spacing w:val="-2"/>
              </w:rPr>
              <w:t xml:space="preserve">rocznych wahań cen </w:t>
            </w:r>
            <w:r w:rsidR="00E76D60" w:rsidRPr="00C04665">
              <w:rPr>
                <w:rFonts w:ascii="Times New Roman" w:hAnsi="Times New Roman"/>
                <w:spacing w:val="-2"/>
              </w:rPr>
              <w:t>zielonych certyfikatów</w:t>
            </w:r>
            <w:r w:rsidR="00CA5C89" w:rsidRPr="00C16956">
              <w:rPr>
                <w:rFonts w:ascii="Times New Roman" w:hAnsi="Times New Roman"/>
                <w:spacing w:val="-2"/>
              </w:rPr>
              <w:t>.</w:t>
            </w:r>
            <w:r w:rsidR="00D35E66" w:rsidRPr="00C16956">
              <w:rPr>
                <w:rFonts w:ascii="Times New Roman" w:hAnsi="Times New Roman"/>
                <w:spacing w:val="-2"/>
              </w:rPr>
              <w:t xml:space="preserve"> </w:t>
            </w:r>
            <w:r w:rsidR="005E03AC" w:rsidRPr="00C16956">
              <w:rPr>
                <w:rFonts w:ascii="Times New Roman" w:hAnsi="Times New Roman"/>
                <w:spacing w:val="-2"/>
              </w:rPr>
              <w:t xml:space="preserve">Biorąc zaś pod uwagę skokowy wzrost cen energii elektrycznej, należy podkreślić, że bieżąca sytuacja </w:t>
            </w:r>
            <w:r w:rsidR="00E76D60">
              <w:rPr>
                <w:rFonts w:ascii="Times New Roman" w:hAnsi="Times New Roman"/>
                <w:spacing w:val="-2"/>
              </w:rPr>
              <w:t xml:space="preserve">związana ze wzrostem cen świadectw pochodzenia </w:t>
            </w:r>
            <w:r w:rsidR="005E03AC" w:rsidRPr="00C16956">
              <w:rPr>
                <w:rFonts w:ascii="Times New Roman" w:hAnsi="Times New Roman"/>
                <w:spacing w:val="-2"/>
              </w:rPr>
              <w:t xml:space="preserve">prowadzi do nadmiernego obciążenia odbiorców </w:t>
            </w:r>
            <w:r w:rsidR="00652797" w:rsidRPr="00C16956">
              <w:rPr>
                <w:rFonts w:ascii="Times New Roman" w:hAnsi="Times New Roman"/>
                <w:spacing w:val="-2"/>
              </w:rPr>
              <w:t xml:space="preserve">końcowych, </w:t>
            </w:r>
            <w:r w:rsidR="00E76D60">
              <w:rPr>
                <w:rFonts w:ascii="Times New Roman" w:hAnsi="Times New Roman"/>
                <w:spacing w:val="-2"/>
              </w:rPr>
              <w:br/>
              <w:t xml:space="preserve">pomimo rozwiązań dedykowanych dla </w:t>
            </w:r>
            <w:r w:rsidR="005E03AC" w:rsidRPr="00C16956">
              <w:rPr>
                <w:rFonts w:ascii="Times New Roman" w:hAnsi="Times New Roman"/>
                <w:spacing w:val="-2"/>
              </w:rPr>
              <w:t>przemysłowych</w:t>
            </w:r>
            <w:r w:rsidR="009B53F1" w:rsidRPr="00C16956">
              <w:rPr>
                <w:rFonts w:ascii="Times New Roman" w:hAnsi="Times New Roman"/>
                <w:spacing w:val="-2"/>
              </w:rPr>
              <w:t xml:space="preserve">. </w:t>
            </w:r>
          </w:p>
          <w:p w14:paraId="2C1AD4E6" w14:textId="21CC4A5A" w:rsidR="00AA51D3" w:rsidRPr="00C16956" w:rsidRDefault="002331F6" w:rsidP="00C16956">
            <w:pPr>
              <w:spacing w:after="12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C16956">
              <w:rPr>
                <w:rFonts w:ascii="Times New Roman" w:hAnsi="Times New Roman"/>
                <w:spacing w:val="-2"/>
              </w:rPr>
              <w:t>Projektowane rozporządzenie jest właściwą formą uregulowania systemu zielonych certyfikatów. Należy jednocześnie wskazać, że nie istnieje inna możliwość unormowania tej kwestii, co wynika z upoważnienia ustawowego zawartego w art. 60 ustawy z dnia 20 lutego 2015 r. o odnawialnych źródłach energii (Dz. U. z 2021 r. poz. 610, z późn. zm.).</w:t>
            </w:r>
          </w:p>
        </w:tc>
      </w:tr>
      <w:tr w:rsidR="006A701A" w:rsidRPr="00A87B3A" w14:paraId="0BC804EE" w14:textId="77777777" w:rsidTr="00676C8D">
        <w:trPr>
          <w:gridAfter w:val="1"/>
          <w:wAfter w:w="10" w:type="dxa"/>
          <w:trHeight w:val="307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1D70CF28" w14:textId="77777777" w:rsidR="006A701A" w:rsidRPr="00A87B3A" w:rsidRDefault="009E3C4B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spacing w:val="-2"/>
              </w:rPr>
              <w:lastRenderedPageBreak/>
              <w:t>Jak problem został rozwiązany w innych krajach, w szczególności krajach członkowskich OECD/UE</w:t>
            </w:r>
            <w:r w:rsidR="006A701A" w:rsidRPr="00A87B3A">
              <w:rPr>
                <w:rFonts w:ascii="Times New Roman" w:hAnsi="Times New Roman"/>
                <w:b/>
                <w:color w:val="000000"/>
              </w:rPr>
              <w:t>?</w:t>
            </w:r>
            <w:r w:rsidR="006A701A" w:rsidRPr="00A87B3A">
              <w:rPr>
                <w:rFonts w:ascii="Times New Roman" w:hAnsi="Times New Roman"/>
                <w:i/>
                <w:color w:val="000000"/>
              </w:rPr>
              <w:t xml:space="preserve"> </w:t>
            </w:r>
          </w:p>
        </w:tc>
      </w:tr>
      <w:tr w:rsidR="006A701A" w:rsidRPr="00A87B3A" w14:paraId="6643E08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3C1755D0" w14:textId="07689F22" w:rsidR="006A701A" w:rsidRPr="00A87B3A" w:rsidRDefault="002331F6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color w:val="000000"/>
                <w:spacing w:val="-2"/>
              </w:rPr>
              <w:t>Brak analogicznych rozwiązań w innych krajach, w szczególności w krajach członkowskich OECD/UE.</w:t>
            </w:r>
          </w:p>
        </w:tc>
      </w:tr>
      <w:tr w:rsidR="006A701A" w:rsidRPr="00A87B3A" w14:paraId="12A33B47" w14:textId="77777777" w:rsidTr="00676C8D">
        <w:trPr>
          <w:gridAfter w:val="1"/>
          <w:wAfter w:w="10" w:type="dxa"/>
          <w:trHeight w:val="359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550A992D" w14:textId="77777777" w:rsidR="006A701A" w:rsidRPr="00A87B3A" w:rsidRDefault="006A701A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Podmioty, na które oddziałuje projekt</w:t>
            </w:r>
          </w:p>
        </w:tc>
      </w:tr>
      <w:tr w:rsidR="00260F33" w:rsidRPr="00A87B3A" w14:paraId="05552CDB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1B25C3CC" w14:textId="77777777" w:rsidR="00260F33" w:rsidRPr="00A87B3A" w:rsidRDefault="00260F3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>Grupa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2D53B02" w14:textId="77777777" w:rsidR="00260F33" w:rsidRPr="00A87B3A" w:rsidRDefault="00563199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>Wielkość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194583A9" w14:textId="77777777" w:rsidR="00260F33" w:rsidRPr="00A87B3A" w:rsidRDefault="00260F3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>Źródło danych</w:t>
            </w:r>
            <w:r w:rsidRPr="00A87B3A" w:rsidDel="00260F33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1AD8AC42" w14:textId="77777777" w:rsidR="00260F33" w:rsidRPr="00A87B3A" w:rsidRDefault="00260F3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>Oddziaływanie</w:t>
            </w:r>
          </w:p>
        </w:tc>
      </w:tr>
      <w:tr w:rsidR="00260F33" w:rsidRPr="00A87B3A" w14:paraId="53AAC0AE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2FA68EF9" w14:textId="14E86E8C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>Przedsiębiorstwa obrotu energią elektryczną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23C7AFE4" w14:textId="0F385CE6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color w:val="000000"/>
                <w:spacing w:val="-2"/>
              </w:rPr>
              <w:t>Ok. 600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3EB3719B" w14:textId="430A2035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  <w:spacing w:val="-2"/>
              </w:rPr>
              <w:t>Rejestr Urzędu Regulacji Energetyki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051A0E7F" w14:textId="5B51FC8E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  <w:spacing w:val="-2"/>
              </w:rPr>
              <w:t>Obowiązek pozyskania odpowiedniego udziału sprzedawanej energii</w:t>
            </w:r>
            <w:r w:rsidRPr="000D3032">
              <w:rPr>
                <w:rFonts w:ascii="Times New Roman" w:hAnsi="Times New Roman"/>
                <w:color w:val="000000"/>
                <w:spacing w:val="-2"/>
              </w:rPr>
              <w:br/>
              <w:t>z</w:t>
            </w:r>
            <w:r>
              <w:rPr>
                <w:rFonts w:ascii="Times New Roman" w:hAnsi="Times New Roman"/>
                <w:color w:val="000000"/>
                <w:spacing w:val="-2"/>
              </w:rPr>
              <w:t>e źródeł</w:t>
            </w:r>
            <w:r w:rsidRPr="000D3032">
              <w:rPr>
                <w:rFonts w:ascii="Times New Roman" w:hAnsi="Times New Roman"/>
                <w:color w:val="000000"/>
                <w:spacing w:val="-2"/>
              </w:rPr>
              <w:t xml:space="preserve"> odnawialnych.</w:t>
            </w:r>
          </w:p>
        </w:tc>
      </w:tr>
      <w:tr w:rsidR="00260F33" w:rsidRPr="00A87B3A" w14:paraId="2FDE3E7F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58AEA2EF" w14:textId="59A7DE30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color w:val="000000"/>
              </w:rPr>
              <w:t>Producenci energii</w:t>
            </w:r>
            <w:r w:rsidRPr="002331F6">
              <w:rPr>
                <w:rFonts w:ascii="Times New Roman" w:hAnsi="Times New Roman"/>
                <w:color w:val="000000"/>
              </w:rPr>
              <w:br/>
              <w:t>z odnawialnych źródeł energii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3EAD8EDB" w14:textId="3598B1DA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Ok. 3000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234E2DD8" w14:textId="6292FB99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  <w:spacing w:val="-2"/>
              </w:rPr>
              <w:t>Szacunki własne Ministerstwa Klimatu i Środowiska oraz dane Urzędu Regulacji Energetyki</w:t>
            </w:r>
            <w:r w:rsidRPr="000D3032">
              <w:rPr>
                <w:rFonts w:ascii="Times New Roman" w:hAnsi="Times New Roman"/>
                <w:color w:val="000000"/>
                <w:spacing w:val="-2"/>
              </w:rPr>
              <w:br/>
              <w:t>i Zarządcy Rozliczeń S.A.</w:t>
            </w:r>
          </w:p>
        </w:tc>
        <w:tc>
          <w:tcPr>
            <w:tcW w:w="2981" w:type="dxa"/>
            <w:gridSpan w:val="6"/>
            <w:shd w:val="clear" w:color="auto" w:fill="auto"/>
          </w:tcPr>
          <w:p w14:paraId="0941797C" w14:textId="3A99AD51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  <w:spacing w:val="-2"/>
              </w:rPr>
              <w:t>Utrzymanie opłacalności finansowej instalacji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OZE</w:t>
            </w:r>
            <w:r w:rsidRPr="000D3032">
              <w:rPr>
                <w:rFonts w:ascii="Times New Roman" w:hAnsi="Times New Roman"/>
                <w:color w:val="000000"/>
                <w:spacing w:val="-2"/>
              </w:rPr>
              <w:t>.</w:t>
            </w:r>
          </w:p>
        </w:tc>
      </w:tr>
      <w:tr w:rsidR="00260F33" w:rsidRPr="00A87B3A" w14:paraId="441B8BA0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7C106DAB" w14:textId="4020B4F6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</w:rPr>
              <w:t>Towarowa Giełda Energii S.A.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1D4C29AA" w14:textId="35335A59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0DE73202" w14:textId="362D36C4" w:rsidR="00260F33" w:rsidRPr="00A87B3A" w:rsidRDefault="00F53868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hyperlink r:id="rId9" w:history="1">
              <w:r w:rsidR="002331F6" w:rsidRPr="000D3032">
                <w:rPr>
                  <w:rFonts w:ascii="Times New Roman" w:hAnsi="Times New Roman"/>
                  <w:color w:val="0000FF"/>
                  <w:spacing w:val="-2"/>
                  <w:u w:val="single"/>
                </w:rPr>
                <w:t>www.tge.pl</w:t>
              </w:r>
            </w:hyperlink>
          </w:p>
        </w:tc>
        <w:tc>
          <w:tcPr>
            <w:tcW w:w="2981" w:type="dxa"/>
            <w:gridSpan w:val="6"/>
            <w:shd w:val="clear" w:color="auto" w:fill="auto"/>
          </w:tcPr>
          <w:p w14:paraId="797622A2" w14:textId="026D47BA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  <w:spacing w:val="-2"/>
              </w:rPr>
              <w:t>Obowiązki rozliczeniowe.</w:t>
            </w:r>
          </w:p>
        </w:tc>
      </w:tr>
      <w:tr w:rsidR="00260F33" w:rsidRPr="00A87B3A" w14:paraId="5F1F4EF6" w14:textId="77777777" w:rsidTr="00676C8D">
        <w:trPr>
          <w:gridAfter w:val="1"/>
          <w:wAfter w:w="10" w:type="dxa"/>
          <w:trHeight w:val="142"/>
        </w:trPr>
        <w:tc>
          <w:tcPr>
            <w:tcW w:w="2668" w:type="dxa"/>
            <w:gridSpan w:val="3"/>
            <w:shd w:val="clear" w:color="auto" w:fill="auto"/>
          </w:tcPr>
          <w:p w14:paraId="6FC84CD1" w14:textId="6FDDDBEA" w:rsidR="00260F33" w:rsidRPr="00A87B3A" w:rsidRDefault="002331F6" w:rsidP="009629CE">
            <w:pPr>
              <w:tabs>
                <w:tab w:val="left" w:pos="1560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0D3032">
              <w:rPr>
                <w:rFonts w:ascii="Times New Roman" w:hAnsi="Times New Roman"/>
                <w:color w:val="000000"/>
              </w:rPr>
              <w:t>Urząd Regulacji Energetyki</w:t>
            </w:r>
          </w:p>
        </w:tc>
        <w:tc>
          <w:tcPr>
            <w:tcW w:w="2292" w:type="dxa"/>
            <w:gridSpan w:val="8"/>
            <w:shd w:val="clear" w:color="auto" w:fill="auto"/>
          </w:tcPr>
          <w:p w14:paraId="7237EA01" w14:textId="2A9940B3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2996" w:type="dxa"/>
            <w:gridSpan w:val="12"/>
            <w:shd w:val="clear" w:color="auto" w:fill="auto"/>
          </w:tcPr>
          <w:p w14:paraId="661920C5" w14:textId="334429C3" w:rsidR="00260F33" w:rsidRPr="00A87B3A" w:rsidRDefault="00F53868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hyperlink r:id="rId10" w:history="1">
              <w:r w:rsidR="002331F6" w:rsidRPr="000D3032">
                <w:rPr>
                  <w:rFonts w:ascii="Times New Roman" w:hAnsi="Times New Roman"/>
                  <w:color w:val="0000FF"/>
                  <w:spacing w:val="-2"/>
                  <w:u w:val="single"/>
                </w:rPr>
                <w:t>www.ure.gov.pl</w:t>
              </w:r>
            </w:hyperlink>
          </w:p>
        </w:tc>
        <w:tc>
          <w:tcPr>
            <w:tcW w:w="2981" w:type="dxa"/>
            <w:gridSpan w:val="6"/>
            <w:shd w:val="clear" w:color="auto" w:fill="auto"/>
          </w:tcPr>
          <w:p w14:paraId="6D0B21DF" w14:textId="01530D5F" w:rsidR="00260F33" w:rsidRPr="00A87B3A" w:rsidRDefault="002331F6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0D3032">
              <w:rPr>
                <w:rFonts w:ascii="Times New Roman" w:hAnsi="Times New Roman"/>
                <w:color w:val="000000"/>
                <w:spacing w:val="-2"/>
              </w:rPr>
              <w:t>Obowiązki rejestrowe</w:t>
            </w:r>
            <w:r w:rsidRPr="000D3032">
              <w:rPr>
                <w:rFonts w:ascii="Times New Roman" w:hAnsi="Times New Roman"/>
                <w:color w:val="000000"/>
                <w:spacing w:val="-2"/>
              </w:rPr>
              <w:br/>
              <w:t>i kontrolne.</w:t>
            </w:r>
          </w:p>
        </w:tc>
      </w:tr>
      <w:tr w:rsidR="006A701A" w:rsidRPr="00A87B3A" w14:paraId="69B3A722" w14:textId="77777777" w:rsidTr="00676C8D">
        <w:trPr>
          <w:gridAfter w:val="1"/>
          <w:wAfter w:w="10" w:type="dxa"/>
          <w:trHeight w:val="30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7D9F7760" w14:textId="77777777" w:rsidR="006A701A" w:rsidRPr="00A87B3A" w:rsidRDefault="001B3460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Informacje na temat zakresu</w:t>
            </w:r>
            <w:r w:rsidR="0076658F" w:rsidRPr="00A87B3A">
              <w:rPr>
                <w:rFonts w:ascii="Times New Roman" w:hAnsi="Times New Roman"/>
                <w:b/>
                <w:color w:val="000000"/>
              </w:rPr>
              <w:t>,</w:t>
            </w:r>
            <w:r w:rsidRPr="00A87B3A">
              <w:rPr>
                <w:rFonts w:ascii="Times New Roman" w:hAnsi="Times New Roman"/>
                <w:b/>
                <w:color w:val="000000"/>
              </w:rPr>
              <w:t xml:space="preserve"> czasu trwania </w:t>
            </w:r>
            <w:r w:rsidR="0076658F" w:rsidRPr="00A87B3A">
              <w:rPr>
                <w:rFonts w:ascii="Times New Roman" w:hAnsi="Times New Roman"/>
                <w:b/>
                <w:color w:val="000000"/>
              </w:rPr>
              <w:t xml:space="preserve">i podsumowanie wyników </w:t>
            </w:r>
            <w:r w:rsidRPr="00A87B3A">
              <w:rPr>
                <w:rFonts w:ascii="Times New Roman" w:hAnsi="Times New Roman"/>
                <w:b/>
                <w:color w:val="000000"/>
              </w:rPr>
              <w:t>konsultacji</w:t>
            </w:r>
          </w:p>
        </w:tc>
      </w:tr>
      <w:tr w:rsidR="006A701A" w:rsidRPr="00A87B3A" w14:paraId="0A8C817F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FFFFFF"/>
          </w:tcPr>
          <w:p w14:paraId="2C1FAB6E" w14:textId="604DD6C0" w:rsidR="00CB6F96" w:rsidRDefault="00CB6F96" w:rsidP="00C1695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B6F96">
              <w:rPr>
                <w:rFonts w:ascii="Times New Roman" w:hAnsi="Times New Roman"/>
                <w:color w:val="000000"/>
                <w:spacing w:val="-2"/>
              </w:rPr>
              <w:t xml:space="preserve">Projekt nie był przedmiotem pre-konsultacji. </w:t>
            </w:r>
          </w:p>
          <w:p w14:paraId="560059E6" w14:textId="1D7C5C13" w:rsidR="00CB6F96" w:rsidRDefault="00CB6F96" w:rsidP="00C16956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CB6F96">
              <w:rPr>
                <w:rFonts w:ascii="Times New Roman" w:hAnsi="Times New Roman"/>
                <w:color w:val="000000"/>
                <w:spacing w:val="-2"/>
              </w:rPr>
              <w:t>Projekt</w:t>
            </w:r>
            <w:r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CB6F96">
              <w:rPr>
                <w:rFonts w:ascii="Times New Roman" w:hAnsi="Times New Roman"/>
                <w:color w:val="000000"/>
                <w:spacing w:val="-2"/>
              </w:rPr>
              <w:t xml:space="preserve"> zgodnie z art. 5 ustawy z dnia 7 lipca 2005 r. o działalności lobbingowej w procesie stanowienia prawa i § 52 uchwały nr 190 Rady Ministrów z dnia 29 października 2013 r. – Regulamin pracy Rady Ministrów</w:t>
            </w:r>
            <w:r w:rsidR="00E37030"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CB6F96">
              <w:rPr>
                <w:rFonts w:ascii="Times New Roman" w:hAnsi="Times New Roman"/>
                <w:color w:val="000000"/>
                <w:spacing w:val="-2"/>
              </w:rPr>
              <w:t xml:space="preserve"> zostanie udostępniony </w:t>
            </w:r>
            <w:r w:rsidR="0092538D">
              <w:rPr>
                <w:rFonts w:ascii="Times New Roman" w:hAnsi="Times New Roman"/>
                <w:color w:val="000000"/>
                <w:spacing w:val="-2"/>
              </w:rPr>
              <w:br/>
            </w:r>
            <w:r w:rsidRPr="00CB6F96">
              <w:rPr>
                <w:rFonts w:ascii="Times New Roman" w:hAnsi="Times New Roman"/>
                <w:color w:val="000000"/>
                <w:spacing w:val="-2"/>
              </w:rPr>
              <w:t>w Biuletynie Informacji Publicznej</w:t>
            </w:r>
            <w:r w:rsidR="00E37030"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CB6F96">
              <w:rPr>
                <w:rFonts w:ascii="Times New Roman" w:hAnsi="Times New Roman"/>
                <w:color w:val="000000"/>
                <w:spacing w:val="-2"/>
              </w:rPr>
              <w:t xml:space="preserve"> na stronie podmiotowej Rządowego Centrum Legislacji</w:t>
            </w:r>
            <w:r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CB6F96">
              <w:rPr>
                <w:rFonts w:ascii="Times New Roman" w:hAnsi="Times New Roman"/>
                <w:color w:val="000000"/>
                <w:spacing w:val="-2"/>
              </w:rPr>
              <w:t xml:space="preserve"> w serwisie Rządowy Proces Legislacyjny. </w:t>
            </w:r>
          </w:p>
          <w:p w14:paraId="6685BC92" w14:textId="78242BF1" w:rsidR="00CB6F96" w:rsidRPr="00CB6F96" w:rsidRDefault="0028187D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bookmarkStart w:id="5" w:name="_Hlk129075506"/>
            <w:r>
              <w:rPr>
                <w:rFonts w:ascii="Times New Roman" w:hAnsi="Times New Roman"/>
                <w:color w:val="000000"/>
                <w:spacing w:val="-2"/>
              </w:rPr>
              <w:t xml:space="preserve">Projekt </w:t>
            </w:r>
            <w:r w:rsidR="00CB6F96" w:rsidRPr="00CB6F96">
              <w:rPr>
                <w:rFonts w:ascii="Times New Roman" w:hAnsi="Times New Roman"/>
                <w:color w:val="000000"/>
                <w:spacing w:val="-2"/>
              </w:rPr>
              <w:t xml:space="preserve">zostanie przekazany do konsultacji </w:t>
            </w:r>
            <w:r w:rsidR="00CB6F96">
              <w:rPr>
                <w:rFonts w:ascii="Times New Roman" w:hAnsi="Times New Roman"/>
                <w:color w:val="000000"/>
                <w:spacing w:val="-2"/>
              </w:rPr>
              <w:t>(</w:t>
            </w:r>
            <w:r w:rsidR="002331F6">
              <w:rPr>
                <w:rFonts w:ascii="Times New Roman" w:hAnsi="Times New Roman"/>
                <w:color w:val="000000"/>
                <w:spacing w:val="-2"/>
              </w:rPr>
              <w:t>14</w:t>
            </w:r>
            <w:r w:rsidR="00CB6F96">
              <w:rPr>
                <w:rFonts w:ascii="Times New Roman" w:hAnsi="Times New Roman"/>
                <w:color w:val="000000"/>
                <w:spacing w:val="-2"/>
              </w:rPr>
              <w:t xml:space="preserve"> dni) </w:t>
            </w:r>
            <w:r w:rsidR="00CB6F96" w:rsidRPr="00CB6F96">
              <w:rPr>
                <w:rFonts w:ascii="Times New Roman" w:hAnsi="Times New Roman"/>
                <w:color w:val="000000"/>
                <w:spacing w:val="-2"/>
              </w:rPr>
              <w:t xml:space="preserve">do następujących podmiotów: </w:t>
            </w:r>
          </w:p>
          <w:p w14:paraId="3EB0E5C9" w14:textId="158D8206" w:rsidR="002331F6" w:rsidRPr="002331F6" w:rsidRDefault="00BA02D0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 xml:space="preserve">          </w:t>
            </w:r>
            <w:bookmarkStart w:id="6" w:name="_Hlk138434298"/>
            <w:r w:rsidR="002331F6" w:rsidRPr="002331F6">
              <w:rPr>
                <w:rFonts w:ascii="Times New Roman" w:hAnsi="Times New Roman"/>
                <w:bCs/>
                <w:color w:val="000000"/>
                <w:spacing w:val="-2"/>
              </w:rPr>
              <w:t>Orlen S.A.;</w:t>
            </w:r>
          </w:p>
          <w:p w14:paraId="236C26B7" w14:textId="5F519C9B" w:rsidR="002331F6" w:rsidRPr="002331F6" w:rsidRDefault="00BA02D0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 xml:space="preserve">          </w:t>
            </w:r>
            <w:r w:rsidR="002331F6" w:rsidRPr="002331F6">
              <w:rPr>
                <w:rFonts w:ascii="Times New Roman" w:hAnsi="Times New Roman"/>
                <w:bCs/>
                <w:color w:val="000000"/>
                <w:spacing w:val="-2"/>
              </w:rPr>
              <w:t>Polskie Sieci Elektroenergetyczne S.A.;</w:t>
            </w:r>
          </w:p>
          <w:p w14:paraId="0715F407" w14:textId="7B2DE9D0" w:rsidR="002331F6" w:rsidRPr="002331F6" w:rsidRDefault="00BA02D0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 xml:space="preserve">          </w:t>
            </w:r>
            <w:r w:rsidR="002331F6" w:rsidRPr="002331F6">
              <w:rPr>
                <w:rFonts w:ascii="Times New Roman" w:hAnsi="Times New Roman"/>
                <w:bCs/>
                <w:color w:val="000000"/>
                <w:spacing w:val="-2"/>
              </w:rPr>
              <w:t>Polskie Towarzystwo Przesyłu i Rozdziału Energii Elektrycznej;</w:t>
            </w:r>
          </w:p>
          <w:p w14:paraId="703F7733" w14:textId="0D9D87F2" w:rsidR="002331F6" w:rsidRPr="002331F6" w:rsidRDefault="00BA02D0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 xml:space="preserve">          </w:t>
            </w:r>
            <w:r w:rsidR="002331F6" w:rsidRPr="002331F6">
              <w:rPr>
                <w:rFonts w:ascii="Times New Roman" w:hAnsi="Times New Roman"/>
                <w:bCs/>
                <w:color w:val="000000"/>
                <w:spacing w:val="-2"/>
              </w:rPr>
              <w:t>Towarzystwo Gospodarcze Polskie Elektrownie;</w:t>
            </w:r>
          </w:p>
          <w:p w14:paraId="4DCCC461" w14:textId="2A2A0384" w:rsidR="002331F6" w:rsidRPr="002331F6" w:rsidRDefault="00BA02D0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 xml:space="preserve">          </w:t>
            </w:r>
            <w:r w:rsidR="002331F6" w:rsidRPr="002331F6">
              <w:rPr>
                <w:rFonts w:ascii="Times New Roman" w:hAnsi="Times New Roman"/>
                <w:bCs/>
                <w:color w:val="000000"/>
                <w:spacing w:val="-2"/>
              </w:rPr>
              <w:t>Polski Komitet Energii Elektrycznej;</w:t>
            </w:r>
          </w:p>
          <w:p w14:paraId="4396A9F6" w14:textId="207B1DD1" w:rsidR="002331F6" w:rsidRPr="002331F6" w:rsidRDefault="00BA02D0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 xml:space="preserve">          </w:t>
            </w:r>
            <w:r w:rsidR="002331F6" w:rsidRPr="002331F6">
              <w:rPr>
                <w:rFonts w:ascii="Times New Roman" w:hAnsi="Times New Roman"/>
                <w:bCs/>
                <w:color w:val="000000"/>
                <w:spacing w:val="-2"/>
              </w:rPr>
              <w:t>Polskie Towarzystwo Elektrociepłowni Zawodowych;</w:t>
            </w:r>
          </w:p>
          <w:p w14:paraId="06030B5A" w14:textId="06E21D47" w:rsidR="002331F6" w:rsidRPr="002331F6" w:rsidRDefault="00BA02D0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 xml:space="preserve">          </w:t>
            </w:r>
            <w:r w:rsidR="002331F6" w:rsidRPr="002331F6">
              <w:rPr>
                <w:rFonts w:ascii="Times New Roman" w:hAnsi="Times New Roman"/>
                <w:bCs/>
                <w:color w:val="000000"/>
                <w:spacing w:val="-2"/>
              </w:rPr>
              <w:t>Polska Izba Gospodarcza Energii Odnawialnej i Rozproszonej;</w:t>
            </w:r>
          </w:p>
          <w:p w14:paraId="3DD72C06" w14:textId="56D49E07" w:rsidR="002331F6" w:rsidRPr="002331F6" w:rsidRDefault="00BA02D0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 xml:space="preserve">          </w:t>
            </w:r>
            <w:r w:rsidR="002331F6" w:rsidRPr="002331F6">
              <w:rPr>
                <w:rFonts w:ascii="Times New Roman" w:hAnsi="Times New Roman"/>
                <w:bCs/>
                <w:color w:val="000000"/>
                <w:spacing w:val="-2"/>
              </w:rPr>
              <w:t>Stowarzyszenie Energii Odnawialnej;</w:t>
            </w:r>
          </w:p>
          <w:p w14:paraId="2C320BF7" w14:textId="7E6DD6C1" w:rsidR="006440B9" w:rsidRDefault="00BA02D0" w:rsidP="006440B9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</w:rPr>
              <w:t xml:space="preserve">          </w:t>
            </w:r>
            <w:r w:rsidR="002331F6" w:rsidRPr="002331F6">
              <w:rPr>
                <w:rFonts w:ascii="Times New Roman" w:hAnsi="Times New Roman"/>
                <w:bCs/>
                <w:color w:val="000000"/>
                <w:spacing w:val="-2"/>
              </w:rPr>
              <w:t>Izba Energetyki Przemysłowej i Odbiorców Energii</w:t>
            </w:r>
            <w:r w:rsidR="006440B9">
              <w:rPr>
                <w:rFonts w:ascii="Times New Roman" w:hAnsi="Times New Roman"/>
                <w:bCs/>
                <w:color w:val="000000"/>
                <w:spacing w:val="-2"/>
              </w:rPr>
              <w:t>;</w:t>
            </w:r>
          </w:p>
          <w:p w14:paraId="37E2B303" w14:textId="149ED3DA" w:rsidR="002331F6" w:rsidRPr="006440B9" w:rsidRDefault="002331F6" w:rsidP="006440B9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6440B9">
              <w:rPr>
                <w:rFonts w:ascii="Times New Roman" w:hAnsi="Times New Roman"/>
                <w:bCs/>
                <w:color w:val="000000"/>
                <w:spacing w:val="-2"/>
              </w:rPr>
              <w:t>Unia Producentów i Pracodawców Przemysłu Biogazowego;</w:t>
            </w:r>
          </w:p>
          <w:p w14:paraId="0EFA5EF3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Polskie Stowarzyszenie Biogazu;</w:t>
            </w:r>
          </w:p>
          <w:p w14:paraId="36194720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Polskie Stowarzyszenie Producentów Biogazu Rolniczego;</w:t>
            </w:r>
          </w:p>
          <w:p w14:paraId="02CA6EF8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Towarzystwo Rozwoju Małych Elektrowni Wodnych;</w:t>
            </w:r>
          </w:p>
          <w:p w14:paraId="2B0FD97E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Towarzystwo Elektrowni Wodnych;</w:t>
            </w:r>
          </w:p>
          <w:p w14:paraId="1A176F80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Krajowa Izba Gospodarcza;</w:t>
            </w:r>
          </w:p>
          <w:p w14:paraId="101D38E0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Polskie Stowarzyszenie Energetyki Wiatrowej;</w:t>
            </w:r>
          </w:p>
          <w:p w14:paraId="4C1BA5C4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Stowarzyszenie Małej Energetyki Wiatrowej;</w:t>
            </w:r>
          </w:p>
          <w:p w14:paraId="5BB3397A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Polska Geotermalna Asocjacja;</w:t>
            </w:r>
          </w:p>
          <w:p w14:paraId="05B0DF08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Polskie Stowarzyszenie Geotermiczne;</w:t>
            </w:r>
          </w:p>
          <w:p w14:paraId="6D68E3FC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Polska Organizacja Rozwoju Technologii Pomp Ciepła;</w:t>
            </w:r>
          </w:p>
          <w:p w14:paraId="6BFF2F95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Polskie Towarzystwo Fotowoltaiki;</w:t>
            </w:r>
          </w:p>
          <w:p w14:paraId="37D15CD8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Polskie Stowarzyszenie Energetyki Słonecznej;</w:t>
            </w:r>
          </w:p>
          <w:p w14:paraId="75E38BBA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Stowarzyszenie Branży Fotowoltaicznej – Polska PV;</w:t>
            </w:r>
          </w:p>
          <w:p w14:paraId="357466CA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Polskie Stowarzyszenie Fotowoltaiki;</w:t>
            </w:r>
          </w:p>
          <w:p w14:paraId="4D9835EA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Izba Gospodarcza Ciepłownictwo Polskie;</w:t>
            </w:r>
          </w:p>
          <w:p w14:paraId="63592660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Izba Gospodarcza Wodociągi Polskie;</w:t>
            </w:r>
          </w:p>
          <w:p w14:paraId="6E221EF1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Stowarzyszenie Producentów Energii z Odpadów;</w:t>
            </w:r>
          </w:p>
          <w:p w14:paraId="2E09FD3C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Inicjatywa dla Środowiska, Energii i Elektromobilności;</w:t>
            </w:r>
          </w:p>
          <w:p w14:paraId="5044C009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Instytut Gospodarki Nieruchomościami;</w:t>
            </w:r>
          </w:p>
          <w:p w14:paraId="7887FFEB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Izba Gospodarcza Energetyki i Ochrony Środowiska;</w:t>
            </w:r>
          </w:p>
          <w:p w14:paraId="1471D4BB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EC BREC Instytut Energetyki Odnawialnej;</w:t>
            </w:r>
          </w:p>
          <w:p w14:paraId="6DFAD53C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Instytut na Rzecz Ekorozwoju;</w:t>
            </w:r>
          </w:p>
          <w:p w14:paraId="4AD34DB1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lastRenderedPageBreak/>
              <w:t>Fundacja na rzecz Energetyki Zrównoważonej;</w:t>
            </w:r>
          </w:p>
          <w:p w14:paraId="2758528C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Stowarzyszenie Forum Rozwoju Efektywnej Energii;</w:t>
            </w:r>
          </w:p>
          <w:p w14:paraId="02639722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Polska Izba Biomasy;</w:t>
            </w:r>
          </w:p>
          <w:p w14:paraId="41A9B7C3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Stowarzyszenie Papierników Polskich;</w:t>
            </w:r>
          </w:p>
          <w:p w14:paraId="26FB8777" w14:textId="77777777" w:rsidR="002331F6" w:rsidRPr="002331F6" w:rsidRDefault="002331F6" w:rsidP="002331F6">
            <w:pPr>
              <w:pStyle w:val="Akapitzlist"/>
              <w:numPr>
                <w:ilvl w:val="0"/>
                <w:numId w:val="22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Związek Banków Polskich.</w:t>
            </w:r>
          </w:p>
          <w:bookmarkEnd w:id="5"/>
          <w:bookmarkEnd w:id="6"/>
          <w:p w14:paraId="3A7CCF61" w14:textId="02D6F6D0" w:rsidR="00CB6F96" w:rsidRPr="00CB6F96" w:rsidRDefault="00E37030" w:rsidP="00C16956">
            <w:pPr>
              <w:spacing w:before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P</w:t>
            </w:r>
            <w:r w:rsidR="00CB6F96" w:rsidRPr="00CB6F96">
              <w:rPr>
                <w:rFonts w:ascii="Times New Roman" w:hAnsi="Times New Roman"/>
                <w:color w:val="000000"/>
                <w:spacing w:val="-2"/>
              </w:rPr>
              <w:t>rojekt zostanie przekazany do zaopiniowania (</w:t>
            </w:r>
            <w:r w:rsidR="002331F6">
              <w:rPr>
                <w:rFonts w:ascii="Times New Roman" w:hAnsi="Times New Roman"/>
                <w:color w:val="000000"/>
                <w:spacing w:val="-2"/>
              </w:rPr>
              <w:t>14</w:t>
            </w:r>
            <w:r w:rsidR="00CB6F96" w:rsidRPr="00CB6F96">
              <w:rPr>
                <w:rFonts w:ascii="Times New Roman" w:hAnsi="Times New Roman"/>
                <w:color w:val="000000"/>
                <w:spacing w:val="-2"/>
              </w:rPr>
              <w:t xml:space="preserve"> dni) następującym podmiotom:</w:t>
            </w:r>
          </w:p>
          <w:p w14:paraId="79D8FA6F" w14:textId="2F0A444A" w:rsidR="002331F6" w:rsidRPr="002331F6" w:rsidRDefault="002331F6" w:rsidP="002331F6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Prezes Urzędu Ochrony Konkurencji i Konsumentów;</w:t>
            </w:r>
          </w:p>
          <w:p w14:paraId="140C79ED" w14:textId="2A67FB87" w:rsidR="002331F6" w:rsidRPr="002331F6" w:rsidRDefault="002331F6" w:rsidP="002331F6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Prezes Urzędu Regulacji Energetyki;</w:t>
            </w:r>
          </w:p>
          <w:p w14:paraId="3DAE277B" w14:textId="03E7F3B3" w:rsidR="002331F6" w:rsidRPr="002331F6" w:rsidRDefault="002331F6" w:rsidP="002331F6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>Prezes Prokuratorii Generalnej Rzeczypospolitej Polskiej;</w:t>
            </w:r>
          </w:p>
          <w:p w14:paraId="5D2D5DDE" w14:textId="1C5F0650" w:rsidR="002331F6" w:rsidRPr="002331F6" w:rsidRDefault="002331F6" w:rsidP="002331F6">
            <w:pPr>
              <w:pStyle w:val="Akapitzlist"/>
              <w:numPr>
                <w:ilvl w:val="0"/>
                <w:numId w:val="23"/>
              </w:numPr>
              <w:ind w:left="202" w:hanging="202"/>
              <w:rPr>
                <w:rFonts w:ascii="Times New Roman" w:hAnsi="Times New Roman"/>
                <w:bCs/>
                <w:color w:val="000000"/>
                <w:spacing w:val="-2"/>
              </w:rPr>
            </w:pPr>
            <w:r w:rsidRPr="002331F6">
              <w:rPr>
                <w:rFonts w:ascii="Times New Roman" w:hAnsi="Times New Roman"/>
                <w:bCs/>
                <w:color w:val="000000"/>
                <w:spacing w:val="-2"/>
              </w:rPr>
              <w:t xml:space="preserve"> Rzecznik Małych i Średnich Przedsiębiorców.</w:t>
            </w:r>
          </w:p>
          <w:p w14:paraId="286AF334" w14:textId="2AF74A1F" w:rsidR="002D7FA9" w:rsidRDefault="002D7FA9" w:rsidP="00C16956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2D7FA9">
              <w:rPr>
                <w:rFonts w:ascii="Times New Roman" w:hAnsi="Times New Roman"/>
                <w:color w:val="000000"/>
                <w:lang w:eastAsia="pl-PL"/>
              </w:rPr>
              <w:t xml:space="preserve">Z uwagi na zakres projektu, który nie dotyczy zadań związków zawodowych, projekt </w:t>
            </w:r>
            <w:r w:rsidR="006440B9">
              <w:rPr>
                <w:rFonts w:ascii="Times New Roman" w:hAnsi="Times New Roman"/>
                <w:color w:val="000000"/>
                <w:lang w:eastAsia="pl-PL"/>
              </w:rPr>
              <w:t xml:space="preserve">nie </w:t>
            </w:r>
            <w:r w:rsidRPr="002D7FA9">
              <w:rPr>
                <w:rFonts w:ascii="Times New Roman" w:hAnsi="Times New Roman"/>
                <w:color w:val="000000"/>
                <w:lang w:eastAsia="pl-PL"/>
              </w:rPr>
              <w:t>podlega opiniowaniu przez reprezentatywne związki zawodowe</w:t>
            </w:r>
            <w:r>
              <w:rPr>
                <w:rFonts w:ascii="Times New Roman" w:hAnsi="Times New Roman"/>
                <w:color w:val="000000"/>
                <w:lang w:eastAsia="pl-PL"/>
              </w:rPr>
              <w:t xml:space="preserve">. </w:t>
            </w:r>
          </w:p>
          <w:p w14:paraId="1017E83C" w14:textId="1772AC8A" w:rsidR="002D7FA9" w:rsidRPr="002D7FA9" w:rsidRDefault="002D7FA9" w:rsidP="00C16956">
            <w:pPr>
              <w:spacing w:before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2D7FA9">
              <w:rPr>
                <w:rFonts w:ascii="Times New Roman" w:hAnsi="Times New Roman"/>
                <w:color w:val="000000"/>
                <w:spacing w:val="-2"/>
              </w:rPr>
              <w:t>Z uwagi na zakres projektu, który dotyczy praw i interesów związków pracodawców, projekt podlega opiniowaniu przez reprezentatywne organizacje pracodawców</w:t>
            </w:r>
            <w:r w:rsidR="00E37030">
              <w:rPr>
                <w:rFonts w:ascii="Times New Roman" w:hAnsi="Times New Roman"/>
                <w:color w:val="000000"/>
                <w:spacing w:val="-2"/>
              </w:rPr>
              <w:t xml:space="preserve">. </w:t>
            </w:r>
            <w:r w:rsidR="00E37030">
              <w:rPr>
                <w:rFonts w:ascii="Times New Roman" w:hAnsi="Times New Roman"/>
                <w:color w:val="000000"/>
                <w:lang w:eastAsia="pl-PL"/>
              </w:rPr>
              <w:t>Projekt zostanie przekazany (30 dni) do następujących reprezentatywnych organizacji pracodawców:</w:t>
            </w:r>
          </w:p>
          <w:p w14:paraId="79DFD1C9" w14:textId="77777777" w:rsidR="002D7FA9" w:rsidRPr="002D7FA9" w:rsidRDefault="002D7FA9" w:rsidP="009629CE">
            <w:pPr>
              <w:pStyle w:val="Akapitzlist"/>
              <w:numPr>
                <w:ilvl w:val="0"/>
                <w:numId w:val="26"/>
              </w:numPr>
              <w:spacing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2D7FA9">
              <w:rPr>
                <w:rFonts w:ascii="Times New Roman" w:hAnsi="Times New Roman"/>
              </w:rPr>
              <w:t>Pracodawcy RP,</w:t>
            </w:r>
          </w:p>
          <w:p w14:paraId="1A80167D" w14:textId="77777777" w:rsidR="002D7FA9" w:rsidRPr="002D7FA9" w:rsidRDefault="002D7FA9" w:rsidP="009629CE">
            <w:pPr>
              <w:pStyle w:val="Akapitzlist"/>
              <w:numPr>
                <w:ilvl w:val="0"/>
                <w:numId w:val="26"/>
              </w:numPr>
              <w:spacing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2D7FA9">
              <w:rPr>
                <w:rFonts w:ascii="Times New Roman" w:hAnsi="Times New Roman"/>
              </w:rPr>
              <w:t>Konfederacja Lewiatan,</w:t>
            </w:r>
          </w:p>
          <w:p w14:paraId="3EEB86A9" w14:textId="77777777" w:rsidR="002D7FA9" w:rsidRPr="002D7FA9" w:rsidRDefault="002D7FA9" w:rsidP="009629CE">
            <w:pPr>
              <w:pStyle w:val="Akapitzlist"/>
              <w:numPr>
                <w:ilvl w:val="0"/>
                <w:numId w:val="26"/>
              </w:numPr>
              <w:spacing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2D7FA9">
              <w:rPr>
                <w:rFonts w:ascii="Times New Roman" w:hAnsi="Times New Roman"/>
              </w:rPr>
              <w:t>Związek Rzemiosła Polskiego,</w:t>
            </w:r>
          </w:p>
          <w:p w14:paraId="6C99E5A5" w14:textId="77777777" w:rsidR="002D7FA9" w:rsidRPr="002D7FA9" w:rsidRDefault="002D7FA9" w:rsidP="009629CE">
            <w:pPr>
              <w:pStyle w:val="Akapitzlist"/>
              <w:numPr>
                <w:ilvl w:val="0"/>
                <w:numId w:val="26"/>
              </w:numPr>
              <w:spacing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2D7FA9">
              <w:rPr>
                <w:rFonts w:ascii="Times New Roman" w:hAnsi="Times New Roman"/>
              </w:rPr>
              <w:t>Związek Pracodawców  Business Centre Club,</w:t>
            </w:r>
          </w:p>
          <w:p w14:paraId="3CED22D7" w14:textId="77777777" w:rsidR="00D84736" w:rsidRDefault="002D7FA9" w:rsidP="009629CE">
            <w:pPr>
              <w:pStyle w:val="Akapitzlist"/>
              <w:numPr>
                <w:ilvl w:val="0"/>
                <w:numId w:val="26"/>
              </w:numPr>
              <w:spacing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2D7FA9">
              <w:rPr>
                <w:rFonts w:ascii="Times New Roman" w:hAnsi="Times New Roman"/>
              </w:rPr>
              <w:t>Związek Przedsiębiorców i Pracodawców</w:t>
            </w:r>
            <w:r w:rsidR="00D84736">
              <w:rPr>
                <w:rFonts w:ascii="Times New Roman" w:hAnsi="Times New Roman"/>
              </w:rPr>
              <w:t>,</w:t>
            </w:r>
          </w:p>
          <w:p w14:paraId="670BEC7E" w14:textId="665C8AE6" w:rsidR="002D7FA9" w:rsidRPr="002D7FA9" w:rsidRDefault="00D84736" w:rsidP="009629CE">
            <w:pPr>
              <w:pStyle w:val="Akapitzlist"/>
              <w:numPr>
                <w:ilvl w:val="0"/>
                <w:numId w:val="26"/>
              </w:numPr>
              <w:spacing w:line="240" w:lineRule="auto"/>
              <w:ind w:left="284" w:hanging="284"/>
              <w:jc w:val="both"/>
              <w:rPr>
                <w:rFonts w:ascii="Times New Roman" w:hAnsi="Times New Roman"/>
              </w:rPr>
            </w:pPr>
            <w:r w:rsidRPr="00D84736">
              <w:rPr>
                <w:rFonts w:ascii="Times New Roman" w:hAnsi="Times New Roman"/>
              </w:rPr>
              <w:t>Federacja Przedsiębiorców Polskich</w:t>
            </w:r>
            <w:r w:rsidR="002D7FA9" w:rsidRPr="002D7FA9">
              <w:rPr>
                <w:rFonts w:ascii="Times New Roman" w:hAnsi="Times New Roman"/>
              </w:rPr>
              <w:t>.</w:t>
            </w:r>
          </w:p>
          <w:p w14:paraId="087B7296" w14:textId="31FEDE01" w:rsidR="00E37030" w:rsidRPr="00533DB3" w:rsidRDefault="00E37030" w:rsidP="00C16956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12649A">
              <w:rPr>
                <w:rFonts w:ascii="Times New Roman" w:hAnsi="Times New Roman"/>
                <w:color w:val="000000"/>
                <w:lang w:eastAsia="pl-PL"/>
              </w:rPr>
              <w:t>Projekt nie podlega opiniowaniu przez Komisję Wspólną Rządu i Samorządu Terytorialnego, gdyż nie dotyczy spraw</w:t>
            </w:r>
            <w:r w:rsidRPr="00533DB3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Pr="0012649A">
              <w:rPr>
                <w:rFonts w:ascii="Times New Roman" w:hAnsi="Times New Roman"/>
                <w:color w:val="000000"/>
                <w:lang w:eastAsia="pl-PL"/>
              </w:rPr>
              <w:t xml:space="preserve">związanych z samorządem terytorialnym, o których mowa w ustawie z dnia 6 maja 2005 r. o Komisji Wspólnej Rządu </w:t>
            </w:r>
            <w:r w:rsidR="0092538D">
              <w:rPr>
                <w:rFonts w:ascii="Times New Roman" w:hAnsi="Times New Roman"/>
                <w:color w:val="000000"/>
                <w:lang w:eastAsia="pl-PL"/>
              </w:rPr>
              <w:br/>
            </w:r>
            <w:r w:rsidRPr="0012649A">
              <w:rPr>
                <w:rFonts w:ascii="Times New Roman" w:hAnsi="Times New Roman"/>
                <w:color w:val="000000"/>
                <w:lang w:eastAsia="pl-PL"/>
              </w:rPr>
              <w:t>i</w:t>
            </w:r>
            <w:r w:rsidRPr="00533DB3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  <w:r w:rsidRPr="0012649A">
              <w:rPr>
                <w:rFonts w:ascii="Times New Roman" w:hAnsi="Times New Roman"/>
                <w:color w:val="000000"/>
                <w:lang w:eastAsia="pl-PL"/>
              </w:rPr>
              <w:t>Samorządu Terytorialnego oraz o przedstawicielach Rzeczypospolitej Polskiej w Komitecie Regionów Unii Europejskiej.</w:t>
            </w:r>
            <w:r w:rsidRPr="00533DB3">
              <w:rPr>
                <w:rFonts w:ascii="Times New Roman" w:hAnsi="Times New Roman"/>
                <w:color w:val="000000"/>
                <w:lang w:eastAsia="pl-PL"/>
              </w:rPr>
              <w:t xml:space="preserve"> </w:t>
            </w:r>
          </w:p>
          <w:p w14:paraId="29567E86" w14:textId="6BE36418" w:rsidR="00DC330E" w:rsidRDefault="00E37030" w:rsidP="00C16956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533DB3">
              <w:rPr>
                <w:rFonts w:ascii="Times New Roman" w:hAnsi="Times New Roman"/>
                <w:color w:val="000000"/>
                <w:lang w:eastAsia="pl-PL"/>
              </w:rPr>
              <w:t>Projekt nie dotyczy spraw, o których mowa w art. 1 ustawy z dnia 24 lipca 2015 r. o Radzie Dialogu Społecznego i innych instytucji dialogu społecznego, wobec czego nie wymaga zaopiniowania przez RDS.</w:t>
            </w:r>
          </w:p>
          <w:p w14:paraId="2483701D" w14:textId="7F663B4E" w:rsidR="004328C6" w:rsidRDefault="004328C6" w:rsidP="00C16956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ascii="Times New Roman" w:hAnsi="Times New Roman"/>
                <w:color w:val="000000"/>
                <w:lang w:eastAsia="pl-PL"/>
              </w:rPr>
            </w:pPr>
            <w:r w:rsidRPr="004328C6">
              <w:rPr>
                <w:rFonts w:ascii="Times New Roman" w:hAnsi="Times New Roman"/>
                <w:color w:val="000000"/>
                <w:lang w:eastAsia="pl-PL"/>
              </w:rPr>
              <w:t>Projekt rozporządzenia nie wymaga przedstawienia właściwym instytucjom i organom Unii Europejskiej, w tym Europejskiemu Bankowi Centralnemu, celem uzyskania opinii, dokonania powiadomienia, konsultacji albo uzgodnienia projektu.</w:t>
            </w:r>
          </w:p>
          <w:p w14:paraId="5553CA80" w14:textId="1F6ADB7B" w:rsidR="002E7EB1" w:rsidRPr="0078673E" w:rsidRDefault="000A277E" w:rsidP="00C16956">
            <w:pPr>
              <w:spacing w:before="120"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8E20E9">
              <w:rPr>
                <w:rFonts w:ascii="Times New Roman" w:hAnsi="Times New Roman"/>
              </w:rPr>
              <w:t>Wyniki opiniowania i konsultacji publiczny</w:t>
            </w:r>
            <w:r>
              <w:rPr>
                <w:rFonts w:ascii="Times New Roman" w:hAnsi="Times New Roman"/>
              </w:rPr>
              <w:t xml:space="preserve">ch zostaną </w:t>
            </w:r>
            <w:r w:rsidRPr="008E20E9">
              <w:rPr>
                <w:rFonts w:ascii="Times New Roman" w:hAnsi="Times New Roman"/>
              </w:rPr>
              <w:t>omówione w raporcie z konsultacji, zawierającym zestawienie przedstawionych stanowisk lub opinii i odniesienie się do nich przez organ wnioskujący, udostępnionym na stronie Rządowego Centrum Legislacji, w zakładce Rządowy Proces Legislacyjny,</w:t>
            </w:r>
            <w:r>
              <w:rPr>
                <w:rFonts w:ascii="Times New Roman" w:hAnsi="Times New Roman"/>
              </w:rPr>
              <w:t xml:space="preserve"> </w:t>
            </w:r>
            <w:r w:rsidRPr="008E20E9">
              <w:rPr>
                <w:rFonts w:ascii="Times New Roman" w:hAnsi="Times New Roman"/>
              </w:rPr>
              <w:t>najpóźniej z dniem przekazania projektu na kolejny etap prac legislacyjnych</w:t>
            </w:r>
            <w:r w:rsidR="00536E44">
              <w:rPr>
                <w:rFonts w:ascii="Times New Roman" w:hAnsi="Times New Roman"/>
              </w:rPr>
              <w:t>.</w:t>
            </w:r>
          </w:p>
        </w:tc>
      </w:tr>
      <w:tr w:rsidR="006A701A" w:rsidRPr="00A87B3A" w14:paraId="6D7D1665" w14:textId="77777777" w:rsidTr="00676C8D">
        <w:trPr>
          <w:gridAfter w:val="1"/>
          <w:wAfter w:w="10" w:type="dxa"/>
          <w:trHeight w:val="363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4B509551" w14:textId="77777777" w:rsidR="006A701A" w:rsidRPr="00A87B3A" w:rsidRDefault="006A701A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lastRenderedPageBreak/>
              <w:t xml:space="preserve"> Wpływ na sektor finansów publicznych</w:t>
            </w:r>
          </w:p>
        </w:tc>
      </w:tr>
      <w:tr w:rsidR="00260F33" w:rsidRPr="00A87B3A" w14:paraId="0105ED96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 w:val="restart"/>
            <w:shd w:val="clear" w:color="auto" w:fill="FFFFFF"/>
          </w:tcPr>
          <w:p w14:paraId="72D115F4" w14:textId="77777777" w:rsidR="00260F33" w:rsidRPr="00A87B3A" w:rsidRDefault="00821717" w:rsidP="009629CE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 xml:space="preserve">(ceny </w:t>
            </w:r>
            <w:r w:rsidR="00CF5F4F" w:rsidRPr="00A87B3A">
              <w:rPr>
                <w:rFonts w:ascii="Times New Roman" w:hAnsi="Times New Roman"/>
                <w:color w:val="000000"/>
              </w:rPr>
              <w:t>stałe</w:t>
            </w:r>
            <w:r w:rsidRPr="00A87B3A">
              <w:rPr>
                <w:rFonts w:ascii="Times New Roman" w:hAnsi="Times New Roman"/>
                <w:color w:val="000000"/>
              </w:rPr>
              <w:t xml:space="preserve"> z …… r.)</w:t>
            </w:r>
          </w:p>
        </w:tc>
        <w:tc>
          <w:tcPr>
            <w:tcW w:w="7804" w:type="dxa"/>
            <w:gridSpan w:val="25"/>
            <w:shd w:val="clear" w:color="auto" w:fill="FFFFFF"/>
          </w:tcPr>
          <w:p w14:paraId="5A4415D2" w14:textId="77777777" w:rsidR="00260F33" w:rsidRPr="00A87B3A" w:rsidRDefault="00260F33" w:rsidP="009629C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t>Skutki w okresie 10 lat od wejścia w życie zmian [</w:t>
            </w:r>
            <w:r w:rsidR="00A056CB" w:rsidRPr="00A87B3A">
              <w:rPr>
                <w:rFonts w:ascii="Times New Roman" w:hAnsi="Times New Roman"/>
                <w:color w:val="000000"/>
              </w:rPr>
              <w:t xml:space="preserve">mln </w:t>
            </w:r>
            <w:r w:rsidRPr="00A87B3A">
              <w:rPr>
                <w:rFonts w:ascii="Times New Roman" w:hAnsi="Times New Roman"/>
                <w:color w:val="000000"/>
              </w:rPr>
              <w:t>zł]</w:t>
            </w:r>
          </w:p>
        </w:tc>
      </w:tr>
      <w:tr w:rsidR="0057668E" w:rsidRPr="00A87B3A" w14:paraId="703AD465" w14:textId="77777777" w:rsidTr="00676C8D">
        <w:trPr>
          <w:gridAfter w:val="1"/>
          <w:wAfter w:w="10" w:type="dxa"/>
          <w:trHeight w:val="142"/>
        </w:trPr>
        <w:tc>
          <w:tcPr>
            <w:tcW w:w="3133" w:type="dxa"/>
            <w:gridSpan w:val="4"/>
            <w:vMerge/>
            <w:shd w:val="clear" w:color="auto" w:fill="FFFFFF"/>
          </w:tcPr>
          <w:p w14:paraId="5B78543B" w14:textId="77777777" w:rsidR="0057668E" w:rsidRPr="00A87B3A" w:rsidRDefault="0057668E" w:rsidP="009629CE">
            <w:pPr>
              <w:spacing w:line="240" w:lineRule="auto"/>
              <w:rPr>
                <w:rFonts w:ascii="Times New Roman" w:hAnsi="Times New Roman"/>
                <w:i/>
                <w:color w:val="000000"/>
              </w:rPr>
            </w:pPr>
          </w:p>
        </w:tc>
        <w:tc>
          <w:tcPr>
            <w:tcW w:w="569" w:type="dxa"/>
            <w:gridSpan w:val="2"/>
            <w:shd w:val="clear" w:color="auto" w:fill="FFFFFF"/>
          </w:tcPr>
          <w:p w14:paraId="324432E1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D609FB3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EDB9E8B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A5E38E6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BB9B9E1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70" w:type="dxa"/>
            <w:shd w:val="clear" w:color="auto" w:fill="FFFFFF"/>
          </w:tcPr>
          <w:p w14:paraId="3F1CBCE9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4C881E1F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CF85F2F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F685255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02B72ED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70" w:type="dxa"/>
            <w:shd w:val="clear" w:color="auto" w:fill="FFFFFF"/>
          </w:tcPr>
          <w:p w14:paraId="7DE4C53C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537" w:type="dxa"/>
            <w:gridSpan w:val="2"/>
            <w:shd w:val="clear" w:color="auto" w:fill="FFFFFF"/>
          </w:tcPr>
          <w:p w14:paraId="4C6F9884" w14:textId="77777777" w:rsidR="0057668E" w:rsidRPr="00A87B3A" w:rsidRDefault="0057668E" w:rsidP="009629C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i/>
                <w:color w:val="000000"/>
                <w:spacing w:val="-2"/>
              </w:rPr>
              <w:t>Łącznie</w:t>
            </w:r>
            <w:r w:rsidR="00CF5F4F" w:rsidRPr="00A87B3A">
              <w:rPr>
                <w:rFonts w:ascii="Times New Roman" w:hAnsi="Times New Roman"/>
                <w:i/>
                <w:color w:val="000000"/>
                <w:spacing w:val="-2"/>
              </w:rPr>
              <w:t xml:space="preserve"> (0-10)</w:t>
            </w:r>
          </w:p>
        </w:tc>
      </w:tr>
      <w:tr w:rsidR="00E44510" w:rsidRPr="00A87B3A" w14:paraId="48DDC944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BF31BBB" w14:textId="77777777" w:rsidR="00E44510" w:rsidRPr="00A87B3A" w:rsidRDefault="00E44510" w:rsidP="00E445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Dochody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87BA448" w14:textId="63205778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A5A45B6" w14:textId="6AC87886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4310BA5" w14:textId="3BBC735E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8987915" w14:textId="47A2BB68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C69E0B0" w14:textId="48FC71F4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14DD9369" w14:textId="17AC6A1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36CE3F6" w14:textId="4C6DF281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3720C6A" w14:textId="30FD2105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9531340" w14:textId="79E894B4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31668CC" w14:textId="6A9DC010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6DBF3F2F" w14:textId="40DE1DA0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5CE7EF8D" w14:textId="682D9168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7028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44510" w:rsidRPr="00A87B3A" w14:paraId="52B39938" w14:textId="77777777" w:rsidTr="00676C8D">
        <w:trPr>
          <w:trHeight w:val="32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F7F15C2" w14:textId="77777777" w:rsidR="00E44510" w:rsidRPr="00A87B3A" w:rsidRDefault="00E44510" w:rsidP="00E445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972AE6F" w14:textId="2423479D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F9AB503" w14:textId="787F064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D1F0203" w14:textId="3C2002F8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99D29B3" w14:textId="4DC160A1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D556E34" w14:textId="1767ED5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217180E2" w14:textId="0EA4D576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A6A163A" w14:textId="0908E05A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2E3646B" w14:textId="34938396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890434D" w14:textId="133F19F0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172A022" w14:textId="649DC29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55763D46" w14:textId="5FE0CA65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34198943" w14:textId="37303BCB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7028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44510" w:rsidRPr="00A87B3A" w14:paraId="122514D3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F09D6EE" w14:textId="77777777" w:rsidR="00E44510" w:rsidRPr="00A87B3A" w:rsidRDefault="00E44510" w:rsidP="00E445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7873D48" w14:textId="006EECF6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A46BE50" w14:textId="345DD756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6FFBDA7" w14:textId="517FDF7A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C1BB185" w14:textId="735E9405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D760CE9" w14:textId="41B8C12E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14DA3F6F" w14:textId="74DDC9C1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3C0314F" w14:textId="5044A9D6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F306F14" w14:textId="654C3D4F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02221C5" w14:textId="1419F864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8762B55" w14:textId="3BFC6B08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3869082A" w14:textId="2C8A8C39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306AF426" w14:textId="50729BA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8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44510" w:rsidRPr="00A87B3A" w14:paraId="6D98B0A1" w14:textId="77777777" w:rsidTr="00676C8D">
        <w:trPr>
          <w:trHeight w:val="344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39C8CEA" w14:textId="77777777" w:rsidR="00E44510" w:rsidRPr="00A87B3A" w:rsidRDefault="00E44510" w:rsidP="00E445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17D6B192" w14:textId="3A854D98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266E93C" w14:textId="0F1ABEBD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10E694D" w14:textId="31AD3366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0EAAC42" w14:textId="0E6182D3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5DF0810" w14:textId="67D7D62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18452E79" w14:textId="7B91F283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114A309" w14:textId="75344C9B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FBF6A41" w14:textId="38D8EC59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D5C4595" w14:textId="435AC6FB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7E65CA5" w14:textId="5DA2F54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2B7CCEA1" w14:textId="5A32314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6E0FC22A" w14:textId="57C97B3A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8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44510" w:rsidRPr="00A87B3A" w14:paraId="68C088A6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15BCF592" w14:textId="77777777" w:rsidR="00E44510" w:rsidRPr="00A87B3A" w:rsidRDefault="00E44510" w:rsidP="00E445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Wydatki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D2596DE" w14:textId="26FE8ADA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619784B" w14:textId="10142311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A28D78C" w14:textId="5C998EFE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BE1EAE8" w14:textId="4DE487A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4FD7FFA" w14:textId="5E3F8B34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4C236E6A" w14:textId="2911801B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064FB51F" w14:textId="726BDCA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AE42D38" w14:textId="74EFD45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EA797B5" w14:textId="0C905CEF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E73D6D7" w14:textId="4FA7DFA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1D05D903" w14:textId="5298A6EA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046318F1" w14:textId="6789570E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8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44510" w:rsidRPr="00A87B3A" w14:paraId="3B80F11F" w14:textId="77777777" w:rsidTr="00676C8D">
        <w:trPr>
          <w:trHeight w:val="33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D4743DD" w14:textId="77777777" w:rsidR="00E44510" w:rsidRPr="00A87B3A" w:rsidRDefault="00E44510" w:rsidP="00E445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72033CEA" w14:textId="0E2188D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144CFBA" w14:textId="6F9204CF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7E1C9A4" w14:textId="0A0F964B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C0185D3" w14:textId="5334276B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177CE84" w14:textId="46CC3F74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0C3A4FC9" w14:textId="1F6C50AC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4137D7B" w14:textId="2EFCE6BC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6AC198A5" w14:textId="2FB20EC8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009DE4A" w14:textId="1949F6D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5A18963" w14:textId="763B30F3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11205FE7" w14:textId="4548351A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220BD898" w14:textId="1ADD9F03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8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44510" w:rsidRPr="00A87B3A" w14:paraId="3769D6FE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5CAF0B0D" w14:textId="77777777" w:rsidR="00E44510" w:rsidRPr="00A87B3A" w:rsidRDefault="00E44510" w:rsidP="00E445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4247D4EE" w14:textId="378B6A0F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8C074D1" w14:textId="4FCF7DE6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A4E6544" w14:textId="130583EE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C8FDEC2" w14:textId="12D91E59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16619863" w14:textId="24AB1EC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391FD49F" w14:textId="195F8731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52CBC9E" w14:textId="372C7BB6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04CBF9B" w14:textId="5CEDEE30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B5F7EB7" w14:textId="458EA065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98D116B" w14:textId="57D1D815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23E1EEAB" w14:textId="7E29F4F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2D8DE3D3" w14:textId="4329F149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8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44510" w:rsidRPr="00A87B3A" w14:paraId="47C3A97C" w14:textId="77777777" w:rsidTr="00676C8D">
        <w:trPr>
          <w:trHeight w:val="351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26990BB" w14:textId="77777777" w:rsidR="00E44510" w:rsidRPr="00A87B3A" w:rsidRDefault="00E44510" w:rsidP="00E445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56E25A8E" w14:textId="7A70A600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4B8E6E8" w14:textId="661DAE6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47F2CA6" w14:textId="55A2FC4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1DE09208" w14:textId="2E6DF415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B4EF973" w14:textId="53C7B53E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2FC481A0" w14:textId="00D218D4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20ADB097" w14:textId="4092BE8C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425C660D" w14:textId="2ED797FB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DC3C85A" w14:textId="0BAC0ED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AEA176A" w14:textId="285B769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5190F494" w14:textId="2AA7B5B9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4103BF03" w14:textId="3B1A440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8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44510" w:rsidRPr="00A87B3A" w14:paraId="2862AAE0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3849DA41" w14:textId="77777777" w:rsidR="00E44510" w:rsidRPr="00A87B3A" w:rsidRDefault="00E44510" w:rsidP="00E445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Saldo ogółem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0446D226" w14:textId="4E9D450F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BF8A9D0" w14:textId="1BB89B0F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D975844" w14:textId="68B5202F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32222263" w14:textId="4B398280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28E0934" w14:textId="2F80F14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7E03F68A" w14:textId="170F2F1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7916067D" w14:textId="58A4DAFF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5D03DB13" w14:textId="1FEE4B48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7F856DE" w14:textId="62C156BE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D29833B" w14:textId="57E089D1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0C9C1639" w14:textId="7EF335C6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5B0D4D7D" w14:textId="79B09775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8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44510" w:rsidRPr="00A87B3A" w14:paraId="651BF372" w14:textId="77777777" w:rsidTr="00676C8D">
        <w:trPr>
          <w:trHeight w:val="360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6C420D84" w14:textId="77777777" w:rsidR="00E44510" w:rsidRPr="00A87B3A" w:rsidRDefault="00E44510" w:rsidP="00E445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budżet państwa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D0D7F5C" w14:textId="026F426B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9DBB062" w14:textId="142148AC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C0A6FC7" w14:textId="07A0969A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076EE669" w14:textId="78503D2A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489F7B3" w14:textId="00B4FDE6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7BF078A6" w14:textId="3C8D85E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5351645A" w14:textId="4772562F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483A7D6" w14:textId="13CACD7E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9CAA018" w14:textId="2E29A9AA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D6CB386" w14:textId="5C13FB6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7E3010CA" w14:textId="5362D64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150111FE" w14:textId="06AF585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8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44510" w:rsidRPr="00A87B3A" w14:paraId="351D6B19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7C5742C3" w14:textId="77777777" w:rsidR="00E44510" w:rsidRPr="00A87B3A" w:rsidRDefault="00E44510" w:rsidP="00E445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JST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3AA937B0" w14:textId="0153C0EA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08CA36BA" w14:textId="5BEDA721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50A2449A" w14:textId="36BE3829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C2EA946" w14:textId="39477E34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2520E0C3" w14:textId="3A7D108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795B55E7" w14:textId="1C56D563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3FFB808B" w14:textId="086111FC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E7F37A1" w14:textId="663A276C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185DAE0" w14:textId="0F5EB52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672AB6D6" w14:textId="05A08E84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6CB52C6C" w14:textId="11C34A9F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7D760EA9" w14:textId="0FDBFC29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8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E44510" w:rsidRPr="00A87B3A" w14:paraId="7FC2FE31" w14:textId="77777777" w:rsidTr="00676C8D">
        <w:trPr>
          <w:trHeight w:val="357"/>
        </w:trPr>
        <w:tc>
          <w:tcPr>
            <w:tcW w:w="3133" w:type="dxa"/>
            <w:gridSpan w:val="4"/>
            <w:shd w:val="clear" w:color="auto" w:fill="FFFFFF"/>
            <w:vAlign w:val="center"/>
          </w:tcPr>
          <w:p w14:paraId="44A261BE" w14:textId="77777777" w:rsidR="00E44510" w:rsidRPr="00A87B3A" w:rsidRDefault="00E44510" w:rsidP="00E44510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pozostałe jednostki (oddzielnie)</w:t>
            </w:r>
          </w:p>
        </w:tc>
        <w:tc>
          <w:tcPr>
            <w:tcW w:w="569" w:type="dxa"/>
            <w:gridSpan w:val="2"/>
            <w:shd w:val="clear" w:color="auto" w:fill="FFFFFF"/>
          </w:tcPr>
          <w:p w14:paraId="248C90B0" w14:textId="051C93C6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F978189" w14:textId="4731831E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32513731" w14:textId="3A7D48CC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70BF2525" w14:textId="06C153CE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7000EE2E" w14:textId="6AEF2EA8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6EBE50B8" w14:textId="4A44E652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3"/>
            <w:shd w:val="clear" w:color="auto" w:fill="FFFFFF"/>
          </w:tcPr>
          <w:p w14:paraId="162BA659" w14:textId="0EFB99E9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69" w:type="dxa"/>
            <w:gridSpan w:val="3"/>
            <w:shd w:val="clear" w:color="auto" w:fill="FFFFFF"/>
          </w:tcPr>
          <w:p w14:paraId="23994F6B" w14:textId="60075377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B88805B" w14:textId="3F585D34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gridSpan w:val="2"/>
            <w:shd w:val="clear" w:color="auto" w:fill="FFFFFF"/>
          </w:tcPr>
          <w:p w14:paraId="4EB0FDA5" w14:textId="7B88073C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70" w:type="dxa"/>
            <w:shd w:val="clear" w:color="auto" w:fill="FFFFFF"/>
          </w:tcPr>
          <w:p w14:paraId="76FF93EE" w14:textId="0C126DA9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31113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547" w:type="dxa"/>
            <w:gridSpan w:val="3"/>
            <w:shd w:val="clear" w:color="auto" w:fill="FFFFFF"/>
          </w:tcPr>
          <w:p w14:paraId="45DB0E5E" w14:textId="0565777B" w:rsidR="00E44510" w:rsidRPr="00A87B3A" w:rsidRDefault="00E44510" w:rsidP="00E44510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7028B5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6A701A" w:rsidRPr="00A87B3A" w14:paraId="37982841" w14:textId="77777777" w:rsidTr="00676C8D">
        <w:trPr>
          <w:gridAfter w:val="1"/>
          <w:wAfter w:w="10" w:type="dxa"/>
          <w:trHeight w:val="348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769E9A07" w14:textId="77777777" w:rsidR="006A701A" w:rsidRPr="00A87B3A" w:rsidRDefault="006A701A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 xml:space="preserve">Źródła finansowania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074D3287" w14:textId="51901014" w:rsidR="006A701A" w:rsidRPr="00A87B3A" w:rsidRDefault="00C667C9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C667C9">
              <w:rPr>
                <w:rFonts w:ascii="Times New Roman" w:hAnsi="Times New Roman"/>
                <w:color w:val="000000"/>
              </w:rPr>
              <w:t xml:space="preserve">Projekt rozporządzenia nie powoduje skutków finansowych dla jednostek sektora finansów publicznych, w tym budżetu państwa i budżetów jednostek samorządu terytorialnego, </w:t>
            </w:r>
            <w:r w:rsidRPr="00C667C9">
              <w:rPr>
                <w:rFonts w:ascii="Times New Roman" w:hAnsi="Times New Roman"/>
                <w:color w:val="000000"/>
              </w:rPr>
              <w:lastRenderedPageBreak/>
              <w:t>polegających na zwiększeniu wydatków lub zmniejszeniu dochodów tych jednostek w stosunku do wielkości wynikających z obowiązujących przepisów.</w:t>
            </w:r>
          </w:p>
        </w:tc>
      </w:tr>
      <w:tr w:rsidR="00E24BD7" w:rsidRPr="00A87B3A" w14:paraId="1AB60188" w14:textId="77777777" w:rsidTr="00E9355C">
        <w:trPr>
          <w:gridAfter w:val="1"/>
          <w:wAfter w:w="10" w:type="dxa"/>
          <w:trHeight w:val="1266"/>
        </w:trPr>
        <w:tc>
          <w:tcPr>
            <w:tcW w:w="2243" w:type="dxa"/>
            <w:gridSpan w:val="2"/>
            <w:shd w:val="clear" w:color="auto" w:fill="FFFFFF"/>
          </w:tcPr>
          <w:p w14:paraId="634D1CD4" w14:textId="77777777" w:rsidR="00E24BD7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lastRenderedPageBreak/>
              <w:t>Dodatkowe informacje, w tym wskazanie źródeł danych i przyjętych do obliczeń założeń</w:t>
            </w:r>
          </w:p>
        </w:tc>
        <w:tc>
          <w:tcPr>
            <w:tcW w:w="8694" w:type="dxa"/>
            <w:gridSpan w:val="27"/>
            <w:shd w:val="clear" w:color="auto" w:fill="FFFFFF"/>
          </w:tcPr>
          <w:p w14:paraId="56D3E99D" w14:textId="2B1F720B" w:rsidR="00E24BD7" w:rsidRPr="00A87B3A" w:rsidRDefault="00E24BD7" w:rsidP="00304E20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6A701A" w:rsidRPr="00A87B3A" w14:paraId="77418C16" w14:textId="77777777" w:rsidTr="00676C8D">
        <w:trPr>
          <w:gridAfter w:val="1"/>
          <w:wAfter w:w="10" w:type="dxa"/>
          <w:trHeight w:val="345"/>
        </w:trPr>
        <w:tc>
          <w:tcPr>
            <w:tcW w:w="10937" w:type="dxa"/>
            <w:gridSpan w:val="29"/>
            <w:shd w:val="clear" w:color="auto" w:fill="99CCFF"/>
          </w:tcPr>
          <w:p w14:paraId="53657B8C" w14:textId="77777777" w:rsidR="006A701A" w:rsidRPr="00A87B3A" w:rsidRDefault="006A701A" w:rsidP="009629CE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b/>
                <w:color w:val="000000"/>
                <w:spacing w:val="-2"/>
              </w:rPr>
              <w:t xml:space="preserve">Wpływ na </w:t>
            </w:r>
            <w:r w:rsidR="00563199" w:rsidRPr="00A87B3A">
              <w:rPr>
                <w:rFonts w:ascii="Times New Roman" w:hAnsi="Times New Roman"/>
                <w:b/>
                <w:color w:val="000000"/>
              </w:rPr>
              <w:t xml:space="preserve">konkurencyjność </w:t>
            </w:r>
            <w:r w:rsidR="005E7371" w:rsidRPr="00A87B3A">
              <w:rPr>
                <w:rFonts w:ascii="Times New Roman" w:hAnsi="Times New Roman"/>
                <w:b/>
                <w:color w:val="000000"/>
              </w:rPr>
              <w:t>gospodark</w:t>
            </w:r>
            <w:r w:rsidR="00563199" w:rsidRPr="00A87B3A">
              <w:rPr>
                <w:rFonts w:ascii="Times New Roman" w:hAnsi="Times New Roman"/>
                <w:b/>
                <w:color w:val="000000"/>
              </w:rPr>
              <w:t>i</w:t>
            </w:r>
            <w:r w:rsidR="005E7371" w:rsidRPr="00A87B3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 w:rsidRPr="00A87B3A">
              <w:rPr>
                <w:rFonts w:ascii="Times New Roman" w:hAnsi="Times New Roman"/>
                <w:b/>
                <w:color w:val="000000"/>
              </w:rPr>
              <w:t>i</w:t>
            </w:r>
            <w:r w:rsidR="00563199" w:rsidRPr="00A87B3A">
              <w:rPr>
                <w:rFonts w:ascii="Times New Roman" w:hAnsi="Times New Roman"/>
                <w:b/>
                <w:color w:val="000000"/>
              </w:rPr>
              <w:t xml:space="preserve"> przedsiębiorczość</w:t>
            </w:r>
            <w:r w:rsidR="00472E45" w:rsidRPr="00A87B3A">
              <w:rPr>
                <w:rFonts w:ascii="Times New Roman" w:hAnsi="Times New Roman"/>
                <w:b/>
                <w:color w:val="000000"/>
              </w:rPr>
              <w:t>,</w:t>
            </w:r>
            <w:r w:rsidR="005E7371" w:rsidRPr="00A87B3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705A29" w:rsidRPr="00A87B3A">
              <w:rPr>
                <w:rFonts w:ascii="Times New Roman" w:hAnsi="Times New Roman"/>
                <w:b/>
                <w:color w:val="000000"/>
              </w:rPr>
              <w:t xml:space="preserve">w tym </w:t>
            </w:r>
            <w:r w:rsidR="005E7371" w:rsidRPr="00A87B3A">
              <w:rPr>
                <w:rFonts w:ascii="Times New Roman" w:hAnsi="Times New Roman"/>
                <w:b/>
                <w:color w:val="000000"/>
              </w:rPr>
              <w:t>funkcjonowanie przedsiębi</w:t>
            </w:r>
            <w:r w:rsidR="00B93834" w:rsidRPr="00A87B3A">
              <w:rPr>
                <w:rFonts w:ascii="Times New Roman" w:hAnsi="Times New Roman"/>
                <w:b/>
                <w:color w:val="000000"/>
              </w:rPr>
              <w:t>orców</w:t>
            </w:r>
            <w:r w:rsidR="00472E45" w:rsidRPr="00A87B3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B93834" w:rsidRPr="00A87B3A">
              <w:rPr>
                <w:rFonts w:ascii="Times New Roman" w:hAnsi="Times New Roman"/>
                <w:b/>
                <w:color w:val="000000"/>
              </w:rPr>
              <w:t xml:space="preserve">oraz na </w:t>
            </w:r>
            <w:r w:rsidR="00BB0DCA" w:rsidRPr="00A87B3A">
              <w:rPr>
                <w:rFonts w:ascii="Times New Roman" w:hAnsi="Times New Roman"/>
                <w:b/>
                <w:color w:val="000000"/>
              </w:rPr>
              <w:t xml:space="preserve">rodzinę, </w:t>
            </w:r>
            <w:r w:rsidR="00B93834" w:rsidRPr="00A87B3A">
              <w:rPr>
                <w:rFonts w:ascii="Times New Roman" w:hAnsi="Times New Roman"/>
                <w:b/>
                <w:color w:val="000000"/>
              </w:rPr>
              <w:t xml:space="preserve">obywateli i gospodarstwa domowe </w:t>
            </w:r>
          </w:p>
        </w:tc>
      </w:tr>
      <w:tr w:rsidR="005E7371" w:rsidRPr="00A87B3A" w14:paraId="56DB6F52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28A82D37" w14:textId="77777777" w:rsidR="005E7371" w:rsidRPr="00A87B3A" w:rsidRDefault="001B3460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>Skutki</w:t>
            </w:r>
          </w:p>
        </w:tc>
      </w:tr>
      <w:tr w:rsidR="002E6D63" w:rsidRPr="00A87B3A" w14:paraId="0C0C1E25" w14:textId="77777777" w:rsidTr="00676C8D">
        <w:trPr>
          <w:gridAfter w:val="1"/>
          <w:wAfter w:w="10" w:type="dxa"/>
          <w:trHeight w:val="142"/>
        </w:trPr>
        <w:tc>
          <w:tcPr>
            <w:tcW w:w="3889" w:type="dxa"/>
            <w:gridSpan w:val="7"/>
            <w:shd w:val="clear" w:color="auto" w:fill="FFFFFF"/>
          </w:tcPr>
          <w:p w14:paraId="3B4A7C8C" w14:textId="77777777" w:rsidR="002E6D63" w:rsidRPr="00A87B3A" w:rsidRDefault="002E6D63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Czas w latach od wejścia w życie zmian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3398E5F2" w14:textId="77777777" w:rsidR="002E6D63" w:rsidRPr="00A87B3A" w:rsidRDefault="002E6D6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0BBA3BA6" w14:textId="77777777" w:rsidR="002E6D63" w:rsidRPr="00A87B3A" w:rsidRDefault="002E6D6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28F14C4" w14:textId="77777777" w:rsidR="002E6D63" w:rsidRPr="00A87B3A" w:rsidRDefault="002E6D6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461C654A" w14:textId="77777777" w:rsidR="002E6D63" w:rsidRPr="00A87B3A" w:rsidRDefault="002E6D6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A66A9AB" w14:textId="77777777" w:rsidR="002E6D63" w:rsidRPr="00A87B3A" w:rsidRDefault="002E6D6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F87D12C" w14:textId="77777777" w:rsidR="002E6D63" w:rsidRPr="00A87B3A" w:rsidRDefault="002E6D63" w:rsidP="009629CE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422" w:type="dxa"/>
            <w:shd w:val="clear" w:color="auto" w:fill="FFFFFF"/>
          </w:tcPr>
          <w:p w14:paraId="78706CD5" w14:textId="77777777" w:rsidR="002E6D63" w:rsidRPr="00A87B3A" w:rsidRDefault="002E6D63" w:rsidP="009629CE">
            <w:pPr>
              <w:spacing w:line="240" w:lineRule="auto"/>
              <w:jc w:val="center"/>
              <w:rPr>
                <w:rFonts w:ascii="Times New Roman" w:hAnsi="Times New Roman"/>
                <w:i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i/>
                <w:color w:val="000000"/>
                <w:spacing w:val="-2"/>
              </w:rPr>
              <w:t>Łącznie</w:t>
            </w:r>
            <w:r w:rsidRPr="00A87B3A" w:rsidDel="0073273A">
              <w:rPr>
                <w:rFonts w:ascii="Times New Roman" w:hAnsi="Times New Roman"/>
                <w:i/>
                <w:color w:val="000000"/>
                <w:spacing w:val="-2"/>
              </w:rPr>
              <w:t xml:space="preserve"> </w:t>
            </w:r>
            <w:r w:rsidR="001B3460" w:rsidRPr="00A87B3A">
              <w:rPr>
                <w:rFonts w:ascii="Times New Roman" w:hAnsi="Times New Roman"/>
                <w:i/>
                <w:color w:val="000000"/>
                <w:spacing w:val="-2"/>
              </w:rPr>
              <w:t>(0-10)</w:t>
            </w:r>
          </w:p>
        </w:tc>
      </w:tr>
      <w:tr w:rsidR="00815BC6" w:rsidRPr="00A87B3A" w14:paraId="39BC1B40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47ED212C" w14:textId="7777777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W ujęciu pieniężnym</w:t>
            </w:r>
          </w:p>
          <w:p w14:paraId="6F1E6382" w14:textId="7777777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spacing w:val="-2"/>
              </w:rPr>
            </w:pPr>
            <w:r w:rsidRPr="00A87B3A">
              <w:rPr>
                <w:rFonts w:ascii="Times New Roman" w:hAnsi="Times New Roman"/>
                <w:spacing w:val="-2"/>
              </w:rPr>
              <w:t xml:space="preserve">(w mln zł, </w:t>
            </w:r>
          </w:p>
          <w:p w14:paraId="7BDC59D9" w14:textId="7777777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spacing w:val="-2"/>
              </w:rPr>
              <w:t>ceny stałe z …… r.)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F6FE220" w14:textId="7777777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duże przedsiębiorstwa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1242CF0D" w14:textId="0F192846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280DEF01" w14:textId="532AB59C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996C591" w14:textId="3A4E913D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68261B19" w14:textId="1C8CB50E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8EA7C9B" w14:textId="27BC4536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76BAF6B6" w14:textId="226E4E71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7D978AFE" w14:textId="53E47F12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15BC6" w:rsidRPr="00A87B3A" w14:paraId="3199E7B4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006E2C2A" w14:textId="7777777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1DA0E66E" w14:textId="7777777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sektor mikro-, małych i średnich przedsiębiorstw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0B4D304" w14:textId="685DBA83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450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7410299D" w14:textId="6BD1E84B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450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B19566F" w14:textId="7326A9DF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0615B778" w14:textId="5D0AA89C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0A2C3397" w14:textId="7CB7F078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5CC3D5C9" w14:textId="7CC40E41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5FED671F" w14:textId="7FEBB89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15BC6" w:rsidRPr="00A87B3A" w14:paraId="4EB06198" w14:textId="77777777" w:rsidTr="008A5095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785ABD41" w14:textId="7777777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C1B50C9" w14:textId="7777777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</w:rPr>
              <w:t>rodzina, obywatele oraz gospodarstwa domowe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EF717B2" w14:textId="6EC916DE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450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7854D7FC" w14:textId="6EC987FE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450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69EED3F5" w14:textId="2D4FD29D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0A465020" w14:textId="7CF3504B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467C813D" w14:textId="3791333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3176E20B" w14:textId="0863BF3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38CA9484" w14:textId="11157E02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15BC6" w:rsidRPr="00A87B3A" w14:paraId="094EC534" w14:textId="77777777" w:rsidTr="009253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411276E6" w14:textId="7777777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auto"/>
          </w:tcPr>
          <w:p w14:paraId="7C6824FA" w14:textId="0EEEA816" w:rsidR="00815BC6" w:rsidRPr="0092538D" w:rsidRDefault="0092538D" w:rsidP="00815BC6">
            <w:pPr>
              <w:spacing w:line="240" w:lineRule="auto"/>
              <w:rPr>
                <w:rFonts w:ascii="Times New Roman" w:hAnsi="Times New Roman"/>
              </w:rPr>
            </w:pPr>
            <w:r w:rsidRPr="0092538D">
              <w:rPr>
                <w:rFonts w:ascii="Times New Roman" w:hAnsi="Times New Roman"/>
              </w:rPr>
              <w:t>osoby niepełnosprawne oraz osoby starsze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425F7957" w14:textId="337F365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450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63BED572" w14:textId="44731A21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450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B0F6443" w14:textId="6A4F9B96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08861CC2" w14:textId="1D5C5578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1C09FDB8" w14:textId="58669620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46573B02" w14:textId="75AB4E29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1B7F9A4A" w14:textId="008FBDAA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15BC6" w:rsidRPr="00A87B3A" w14:paraId="0DE943C2" w14:textId="77777777" w:rsidTr="009253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5F9CF5A9" w14:textId="7777777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auto"/>
          </w:tcPr>
          <w:p w14:paraId="23892E63" w14:textId="42D1C87F" w:rsidR="00815BC6" w:rsidRPr="0092538D" w:rsidRDefault="0092538D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92538D">
              <w:rPr>
                <w:rFonts w:ascii="Times New Roman" w:hAnsi="Times New Roman"/>
                <w:color w:val="000000"/>
              </w:rPr>
              <w:t>(dodaj/usuń)</w:t>
            </w:r>
          </w:p>
        </w:tc>
        <w:tc>
          <w:tcPr>
            <w:tcW w:w="937" w:type="dxa"/>
            <w:gridSpan w:val="2"/>
            <w:shd w:val="clear" w:color="auto" w:fill="FFFFFF"/>
          </w:tcPr>
          <w:p w14:paraId="60C54535" w14:textId="32546C77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450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5"/>
            <w:shd w:val="clear" w:color="auto" w:fill="FFFFFF"/>
          </w:tcPr>
          <w:p w14:paraId="0AFCF9C5" w14:textId="0EBE2B66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0C4509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2606A32E" w14:textId="0B10BF6F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7" w:type="dxa"/>
            <w:gridSpan w:val="3"/>
            <w:shd w:val="clear" w:color="auto" w:fill="FFFFFF"/>
          </w:tcPr>
          <w:p w14:paraId="67AEE06B" w14:textId="7A4798C2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4"/>
            <w:shd w:val="clear" w:color="auto" w:fill="FFFFFF"/>
          </w:tcPr>
          <w:p w14:paraId="3AE4585D" w14:textId="729A3EF6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938" w:type="dxa"/>
            <w:gridSpan w:val="3"/>
            <w:shd w:val="clear" w:color="auto" w:fill="FFFFFF"/>
          </w:tcPr>
          <w:p w14:paraId="651ECC69" w14:textId="47E2690A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1422" w:type="dxa"/>
            <w:shd w:val="clear" w:color="auto" w:fill="FFFFFF"/>
          </w:tcPr>
          <w:p w14:paraId="6994D62C" w14:textId="256BD94F" w:rsidR="00815BC6" w:rsidRPr="00A87B3A" w:rsidRDefault="00815BC6" w:rsidP="00815BC6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F45FCF">
              <w:rPr>
                <w:rFonts w:ascii="Times New Roman" w:hAnsi="Times New Roman"/>
                <w:color w:val="000000"/>
              </w:rPr>
              <w:t>-</w:t>
            </w:r>
          </w:p>
        </w:tc>
      </w:tr>
      <w:tr w:rsidR="008A608F" w:rsidRPr="00A87B3A" w14:paraId="5CF2071C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 w:val="restart"/>
            <w:shd w:val="clear" w:color="auto" w:fill="FFFFFF"/>
          </w:tcPr>
          <w:p w14:paraId="48D920EC" w14:textId="77777777" w:rsidR="008A608F" w:rsidRPr="00A87B3A" w:rsidRDefault="008A608F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 xml:space="preserve">W </w:t>
            </w:r>
            <w:r w:rsidR="0097181B" w:rsidRPr="00A87B3A">
              <w:rPr>
                <w:rFonts w:ascii="Times New Roman" w:hAnsi="Times New Roman"/>
                <w:color w:val="000000"/>
              </w:rPr>
              <w:t xml:space="preserve">ujęciu </w:t>
            </w:r>
            <w:r w:rsidRPr="00A87B3A">
              <w:rPr>
                <w:rFonts w:ascii="Times New Roman" w:hAnsi="Times New Roman"/>
                <w:color w:val="000000"/>
              </w:rPr>
              <w:t>niepieniężnym</w:t>
            </w:r>
          </w:p>
        </w:tc>
        <w:tc>
          <w:tcPr>
            <w:tcW w:w="2293" w:type="dxa"/>
            <w:gridSpan w:val="6"/>
            <w:shd w:val="clear" w:color="auto" w:fill="FFFFFF"/>
          </w:tcPr>
          <w:p w14:paraId="4CD0E775" w14:textId="77777777" w:rsidR="008A608F" w:rsidRPr="00A87B3A" w:rsidRDefault="009E3C4B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duże p</w:t>
            </w:r>
            <w:r w:rsidR="008A608F" w:rsidRPr="00A87B3A">
              <w:rPr>
                <w:rFonts w:ascii="Times New Roman" w:hAnsi="Times New Roman"/>
                <w:color w:val="000000"/>
              </w:rPr>
              <w:t>rzedsiębiorstwa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054C58A9" w14:textId="50DA9967" w:rsidR="008A608F" w:rsidRPr="00A87B3A" w:rsidRDefault="004970BC" w:rsidP="00815BC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Stopniowe zmniejszanie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 xml:space="preserve"> wielkości udziału</w:t>
            </w:r>
            <w:r w:rsidR="006278F1">
              <w:rPr>
                <w:rFonts w:ascii="Times New Roman" w:hAnsi="Times New Roman"/>
                <w:color w:val="000000"/>
                <w:spacing w:val="-2"/>
              </w:rPr>
              <w:t>,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proporcjonalne </w:t>
            </w:r>
            <w:r w:rsidR="006278F1">
              <w:rPr>
                <w:rFonts w:ascii="Times New Roman" w:hAnsi="Times New Roman"/>
                <w:color w:val="000000"/>
                <w:spacing w:val="-2"/>
              </w:rPr>
              <w:t xml:space="preserve">do </w:t>
            </w:r>
            <w:r w:rsidR="006278F1">
              <w:rPr>
                <w:rFonts w:ascii="Times New Roman" w:hAnsi="Times New Roman"/>
                <w:spacing w:val="-2"/>
              </w:rPr>
              <w:t xml:space="preserve">zmniejszającej się </w:t>
            </w:r>
            <w:r w:rsidR="006278F1" w:rsidRPr="00E03308">
              <w:rPr>
                <w:rFonts w:ascii="Times New Roman" w:hAnsi="Times New Roman"/>
                <w:spacing w:val="-2"/>
              </w:rPr>
              <w:t>podaży certyfikatów wynikającej z zakończenia przewidzianego dla uczestników systemu 15-letniego okresu wsparcia</w:t>
            </w:r>
            <w:r w:rsidR="006278F1">
              <w:rPr>
                <w:rFonts w:ascii="Times New Roman" w:hAnsi="Times New Roman"/>
                <w:spacing w:val="-2"/>
              </w:rPr>
              <w:t xml:space="preserve">, 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 xml:space="preserve">powinno przełożyć się na </w:t>
            </w:r>
            <w:r w:rsidR="00815BC6">
              <w:rPr>
                <w:rFonts w:ascii="Times New Roman" w:hAnsi="Times New Roman"/>
                <w:color w:val="000000"/>
                <w:spacing w:val="-2"/>
              </w:rPr>
              <w:t xml:space="preserve">utrzymanie 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>ogranicz</w:t>
            </w:r>
            <w:r w:rsidR="00815BC6">
              <w:rPr>
                <w:rFonts w:ascii="Times New Roman" w:hAnsi="Times New Roman"/>
                <w:color w:val="000000"/>
                <w:spacing w:val="-2"/>
              </w:rPr>
              <w:t>onych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 xml:space="preserve"> kosztów funkcjonowania systemu zielonych certyfikatów dla odbiorców przemysłowych, przy jednoczesnym utrzymaniu odpowiednich warunków funkcjonowania wytwórców energii z OZE uczestniczących w tym systemie.</w:t>
            </w:r>
          </w:p>
        </w:tc>
      </w:tr>
      <w:tr w:rsidR="008A608F" w:rsidRPr="00A87B3A" w14:paraId="6BEDA658" w14:textId="77777777" w:rsidTr="00676C8D">
        <w:trPr>
          <w:gridAfter w:val="1"/>
          <w:wAfter w:w="10" w:type="dxa"/>
          <w:trHeight w:val="142"/>
        </w:trPr>
        <w:tc>
          <w:tcPr>
            <w:tcW w:w="1596" w:type="dxa"/>
            <w:vMerge/>
            <w:shd w:val="clear" w:color="auto" w:fill="FFFFFF"/>
          </w:tcPr>
          <w:p w14:paraId="4C07B475" w14:textId="77777777" w:rsidR="008A608F" w:rsidRPr="00A87B3A" w:rsidRDefault="008A608F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EA2CCEF" w14:textId="77777777" w:rsidR="008A608F" w:rsidRPr="00A87B3A" w:rsidRDefault="009E3C4B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s</w:t>
            </w:r>
            <w:r w:rsidR="008A608F" w:rsidRPr="00A87B3A">
              <w:rPr>
                <w:rFonts w:ascii="Times New Roman" w:hAnsi="Times New Roman"/>
                <w:color w:val="000000"/>
              </w:rPr>
              <w:t>ektor mikro-, małych i średnich przedsiębiorstw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269CE443" w14:textId="2EF522B1" w:rsidR="008A608F" w:rsidRPr="00A87B3A" w:rsidRDefault="006278F1" w:rsidP="00815BC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Stopniowe zmniejszanie</w:t>
            </w:r>
            <w:r w:rsidRPr="00815BC6">
              <w:rPr>
                <w:rFonts w:ascii="Times New Roman" w:hAnsi="Times New Roman"/>
                <w:color w:val="000000"/>
                <w:spacing w:val="-2"/>
              </w:rPr>
              <w:t xml:space="preserve"> wielkości udziału</w:t>
            </w:r>
            <w:r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815BC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proporcjonalne do </w:t>
            </w:r>
            <w:r>
              <w:rPr>
                <w:rFonts w:ascii="Times New Roman" w:hAnsi="Times New Roman"/>
                <w:spacing w:val="-2"/>
              </w:rPr>
              <w:t xml:space="preserve">zmniejszającej się </w:t>
            </w:r>
            <w:r w:rsidRPr="00E03308">
              <w:rPr>
                <w:rFonts w:ascii="Times New Roman" w:hAnsi="Times New Roman"/>
                <w:spacing w:val="-2"/>
              </w:rPr>
              <w:t>podaży certyfikatów wynikającej z zakończenia przewidzianego dla uczestników systemu 15-letniego okresu wsparcia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 xml:space="preserve">powinno przełożyć się na </w:t>
            </w:r>
            <w:r w:rsidR="00815BC6">
              <w:rPr>
                <w:rFonts w:ascii="Times New Roman" w:hAnsi="Times New Roman"/>
                <w:color w:val="000000"/>
                <w:spacing w:val="-2"/>
              </w:rPr>
              <w:t xml:space="preserve">utrzymanie 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>ogranicz</w:t>
            </w:r>
            <w:r w:rsidR="006A66ED">
              <w:rPr>
                <w:rFonts w:ascii="Times New Roman" w:hAnsi="Times New Roman"/>
                <w:color w:val="000000"/>
                <w:spacing w:val="-2"/>
              </w:rPr>
              <w:t>o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>n</w:t>
            </w:r>
            <w:r w:rsidR="00815BC6">
              <w:rPr>
                <w:rFonts w:ascii="Times New Roman" w:hAnsi="Times New Roman"/>
                <w:color w:val="000000"/>
                <w:spacing w:val="-2"/>
              </w:rPr>
              <w:t>ych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 xml:space="preserve"> kosztów funkcjonowania systemu zielonych certyfikatów dla odbiorców przemysłowych i indywidualnych, przy jednoczesnym utrzymaniu odpowiednich warunków funkcjonowania wytwórców energii z OZE uczestniczących w tym systemie.</w:t>
            </w:r>
          </w:p>
        </w:tc>
      </w:tr>
      <w:tr w:rsidR="009E3C4B" w:rsidRPr="00A87B3A" w14:paraId="25B9F46F" w14:textId="77777777" w:rsidTr="00676C8D">
        <w:trPr>
          <w:gridAfter w:val="1"/>
          <w:wAfter w:w="10" w:type="dxa"/>
          <w:trHeight w:val="596"/>
        </w:trPr>
        <w:tc>
          <w:tcPr>
            <w:tcW w:w="1596" w:type="dxa"/>
            <w:vMerge/>
            <w:shd w:val="clear" w:color="auto" w:fill="FFFFFF"/>
          </w:tcPr>
          <w:p w14:paraId="17136D2A" w14:textId="77777777" w:rsidR="009E3C4B" w:rsidRPr="00A87B3A" w:rsidRDefault="009E3C4B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5F4FAD03" w14:textId="77777777" w:rsidR="009E3C4B" w:rsidRPr="00A87B3A" w:rsidRDefault="00A92BAF" w:rsidP="009629CE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</w:rPr>
              <w:t xml:space="preserve">rodzina, </w:t>
            </w:r>
            <w:r w:rsidR="009E3C4B" w:rsidRPr="00A87B3A">
              <w:rPr>
                <w:rFonts w:ascii="Times New Roman" w:hAnsi="Times New Roman"/>
              </w:rPr>
              <w:t>obywatele oraz gospodarstwa domowe</w:t>
            </w:r>
            <w:r w:rsidR="009E3C4B" w:rsidRPr="00A87B3A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0EAD343E" w14:textId="02ED79E6" w:rsidR="009E3C4B" w:rsidRPr="00A87B3A" w:rsidRDefault="006278F1" w:rsidP="00815BC6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Stopniowe zmniejszanie</w:t>
            </w:r>
            <w:r w:rsidRPr="00815BC6">
              <w:rPr>
                <w:rFonts w:ascii="Times New Roman" w:hAnsi="Times New Roman"/>
                <w:color w:val="000000"/>
                <w:spacing w:val="-2"/>
              </w:rPr>
              <w:t xml:space="preserve"> wielkości udziału</w:t>
            </w:r>
            <w:r>
              <w:rPr>
                <w:rFonts w:ascii="Times New Roman" w:hAnsi="Times New Roman"/>
                <w:color w:val="000000"/>
                <w:spacing w:val="-2"/>
              </w:rPr>
              <w:t>,</w:t>
            </w:r>
            <w:r w:rsidRPr="00815BC6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proporcjonalne do </w:t>
            </w:r>
            <w:r>
              <w:rPr>
                <w:rFonts w:ascii="Times New Roman" w:hAnsi="Times New Roman"/>
                <w:spacing w:val="-2"/>
              </w:rPr>
              <w:t xml:space="preserve">zmniejszającej się </w:t>
            </w:r>
            <w:r w:rsidRPr="00E03308">
              <w:rPr>
                <w:rFonts w:ascii="Times New Roman" w:hAnsi="Times New Roman"/>
                <w:spacing w:val="-2"/>
              </w:rPr>
              <w:t>podaży certyfikatów wynikającej z zakończenia przewidzianego dla uczestników systemu 15-letniego okresu wsparcia</w:t>
            </w:r>
            <w:r>
              <w:rPr>
                <w:rFonts w:ascii="Times New Roman" w:hAnsi="Times New Roman"/>
                <w:spacing w:val="-2"/>
              </w:rPr>
              <w:t xml:space="preserve">, 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 xml:space="preserve">powinno przełożyć się na </w:t>
            </w:r>
            <w:r w:rsidR="00815BC6">
              <w:rPr>
                <w:rFonts w:ascii="Times New Roman" w:hAnsi="Times New Roman"/>
                <w:color w:val="000000"/>
                <w:spacing w:val="-2"/>
              </w:rPr>
              <w:t xml:space="preserve">utrzymanie 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>ogranicz</w:t>
            </w:r>
            <w:r w:rsidR="006A66ED">
              <w:rPr>
                <w:rFonts w:ascii="Times New Roman" w:hAnsi="Times New Roman"/>
                <w:color w:val="000000"/>
                <w:spacing w:val="-2"/>
              </w:rPr>
              <w:t>o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>n</w:t>
            </w:r>
            <w:r w:rsidR="00815BC6">
              <w:rPr>
                <w:rFonts w:ascii="Times New Roman" w:hAnsi="Times New Roman"/>
                <w:color w:val="000000"/>
                <w:spacing w:val="-2"/>
              </w:rPr>
              <w:t>ych</w:t>
            </w:r>
            <w:r w:rsidR="00815BC6" w:rsidRPr="00815BC6">
              <w:rPr>
                <w:rFonts w:ascii="Times New Roman" w:hAnsi="Times New Roman"/>
                <w:color w:val="000000"/>
                <w:spacing w:val="-2"/>
              </w:rPr>
              <w:t xml:space="preserve"> kosztów funkcjonowania systemu zielonych certyfikatów dla odbiorców przemysłowych i indywidualnych, przy jednoczesnym utrzymaniu odpowiednich warunków funkcjonowania wytwórców energii z OZE uczestniczących w tym systemie.</w:t>
            </w:r>
          </w:p>
        </w:tc>
      </w:tr>
      <w:tr w:rsidR="008A608F" w:rsidRPr="00A87B3A" w14:paraId="5592C578" w14:textId="77777777" w:rsidTr="00676C8D">
        <w:trPr>
          <w:gridAfter w:val="1"/>
          <w:wAfter w:w="10" w:type="dxa"/>
          <w:trHeight w:val="240"/>
        </w:trPr>
        <w:tc>
          <w:tcPr>
            <w:tcW w:w="1596" w:type="dxa"/>
            <w:vMerge/>
            <w:shd w:val="clear" w:color="auto" w:fill="FFFFFF"/>
          </w:tcPr>
          <w:p w14:paraId="69E30BDB" w14:textId="77777777" w:rsidR="008A608F" w:rsidRPr="00A87B3A" w:rsidRDefault="008A608F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93" w:type="dxa"/>
            <w:gridSpan w:val="6"/>
            <w:shd w:val="clear" w:color="auto" w:fill="FFFFFF"/>
          </w:tcPr>
          <w:p w14:paraId="464ABFFA" w14:textId="1506F772" w:rsidR="008A608F" w:rsidRPr="00A87B3A" w:rsidRDefault="0092538D" w:rsidP="009629CE">
            <w:pPr>
              <w:tabs>
                <w:tab w:val="right" w:pos="1936"/>
              </w:tabs>
              <w:spacing w:line="240" w:lineRule="auto"/>
              <w:rPr>
                <w:rFonts w:ascii="Times New Roman" w:hAnsi="Times New Roman"/>
              </w:rPr>
            </w:pPr>
            <w:r w:rsidRPr="0092538D">
              <w:rPr>
                <w:rFonts w:ascii="Times New Roman" w:hAnsi="Times New Roman"/>
              </w:rPr>
              <w:t>osoby niepełnosprawne oraz osoby starsze</w:t>
            </w:r>
          </w:p>
        </w:tc>
        <w:tc>
          <w:tcPr>
            <w:tcW w:w="7048" w:type="dxa"/>
            <w:gridSpan w:val="22"/>
            <w:shd w:val="clear" w:color="auto" w:fill="FFFFFF"/>
          </w:tcPr>
          <w:p w14:paraId="3CB3B77B" w14:textId="6E22AC7F" w:rsidR="008A608F" w:rsidRPr="00A87B3A" w:rsidRDefault="00815BC6" w:rsidP="009629CE">
            <w:pPr>
              <w:tabs>
                <w:tab w:val="left" w:pos="3000"/>
              </w:tabs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Brak wpływu.</w:t>
            </w:r>
          </w:p>
        </w:tc>
      </w:tr>
      <w:tr w:rsidR="00E24BD7" w:rsidRPr="00A87B3A" w14:paraId="6678593F" w14:textId="77777777" w:rsidTr="000811DC">
        <w:trPr>
          <w:gridAfter w:val="1"/>
          <w:wAfter w:w="10" w:type="dxa"/>
          <w:trHeight w:val="1237"/>
        </w:trPr>
        <w:tc>
          <w:tcPr>
            <w:tcW w:w="2243" w:type="dxa"/>
            <w:gridSpan w:val="2"/>
            <w:shd w:val="clear" w:color="auto" w:fill="FFFFFF"/>
          </w:tcPr>
          <w:p w14:paraId="2C16E090" w14:textId="77777777" w:rsidR="00E24BD7" w:rsidRPr="00A87B3A" w:rsidRDefault="00E24BD7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 xml:space="preserve">Dodatkowe informacje, w tym wskazanie źródeł danych i przyjętych do obliczeń założeń 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36AB58BF" w14:textId="7263E43C" w:rsidR="00E24BD7" w:rsidRPr="00A87B3A" w:rsidRDefault="00815BC6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Brak dodatkowych informacji.</w:t>
            </w:r>
          </w:p>
        </w:tc>
      </w:tr>
      <w:tr w:rsidR="006A701A" w:rsidRPr="00A87B3A" w14:paraId="7A3EE866" w14:textId="77777777" w:rsidTr="00676C8D">
        <w:trPr>
          <w:gridAfter w:val="1"/>
          <w:wAfter w:w="10" w:type="dxa"/>
          <w:trHeight w:val="342"/>
        </w:trPr>
        <w:tc>
          <w:tcPr>
            <w:tcW w:w="10937" w:type="dxa"/>
            <w:gridSpan w:val="29"/>
            <w:shd w:val="clear" w:color="auto" w:fill="99CCFF"/>
            <w:vAlign w:val="center"/>
          </w:tcPr>
          <w:p w14:paraId="3204B921" w14:textId="77777777" w:rsidR="006A701A" w:rsidRPr="00A87B3A" w:rsidRDefault="006A701A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FA117A" w:rsidRPr="00A87B3A">
              <w:rPr>
                <w:rFonts w:ascii="Times New Roman" w:hAnsi="Times New Roman"/>
                <w:b/>
                <w:color w:val="000000"/>
              </w:rPr>
              <w:t>Zmiana o</w:t>
            </w:r>
            <w:r w:rsidRPr="00A87B3A">
              <w:rPr>
                <w:rFonts w:ascii="Times New Roman" w:hAnsi="Times New Roman"/>
                <w:b/>
                <w:color w:val="000000"/>
              </w:rPr>
              <w:t>bciąże</w:t>
            </w:r>
            <w:r w:rsidR="00FA117A" w:rsidRPr="00A87B3A">
              <w:rPr>
                <w:rFonts w:ascii="Times New Roman" w:hAnsi="Times New Roman"/>
                <w:b/>
                <w:color w:val="000000"/>
              </w:rPr>
              <w:t>ń</w:t>
            </w:r>
            <w:r w:rsidRPr="00A87B3A">
              <w:rPr>
                <w:rFonts w:ascii="Times New Roman" w:hAnsi="Times New Roman"/>
                <w:b/>
                <w:color w:val="000000"/>
              </w:rPr>
              <w:t xml:space="preserve"> regulacyjn</w:t>
            </w:r>
            <w:r w:rsidR="00FA117A" w:rsidRPr="00A87B3A">
              <w:rPr>
                <w:rFonts w:ascii="Times New Roman" w:hAnsi="Times New Roman"/>
                <w:b/>
                <w:color w:val="000000"/>
              </w:rPr>
              <w:t>ych</w:t>
            </w:r>
            <w:r w:rsidR="00653688" w:rsidRPr="00A87B3A">
              <w:rPr>
                <w:rFonts w:ascii="Times New Roman" w:hAnsi="Times New Roman"/>
                <w:b/>
                <w:color w:val="000000"/>
              </w:rPr>
              <w:t xml:space="preserve"> (w tym obowiązk</w:t>
            </w:r>
            <w:r w:rsidR="00FA117A" w:rsidRPr="00A87B3A">
              <w:rPr>
                <w:rFonts w:ascii="Times New Roman" w:hAnsi="Times New Roman"/>
                <w:b/>
                <w:color w:val="000000"/>
              </w:rPr>
              <w:t xml:space="preserve">ów </w:t>
            </w:r>
            <w:r w:rsidR="00653688" w:rsidRPr="00A87B3A">
              <w:rPr>
                <w:rFonts w:ascii="Times New Roman" w:hAnsi="Times New Roman"/>
                <w:b/>
                <w:color w:val="000000"/>
              </w:rPr>
              <w:t>informacyjn</w:t>
            </w:r>
            <w:r w:rsidR="00FA117A" w:rsidRPr="00A87B3A">
              <w:rPr>
                <w:rFonts w:ascii="Times New Roman" w:hAnsi="Times New Roman"/>
                <w:b/>
                <w:color w:val="000000"/>
              </w:rPr>
              <w:t>ych</w:t>
            </w:r>
            <w:r w:rsidR="00653688" w:rsidRPr="00A87B3A">
              <w:rPr>
                <w:rFonts w:ascii="Times New Roman" w:hAnsi="Times New Roman"/>
                <w:b/>
                <w:color w:val="000000"/>
              </w:rPr>
              <w:t>)</w:t>
            </w:r>
            <w:r w:rsidRPr="00A87B3A">
              <w:rPr>
                <w:rFonts w:ascii="Times New Roman" w:hAnsi="Times New Roman"/>
                <w:b/>
                <w:color w:val="000000"/>
              </w:rPr>
              <w:t xml:space="preserve"> wynikając</w:t>
            </w:r>
            <w:r w:rsidR="00FA117A" w:rsidRPr="00A87B3A">
              <w:rPr>
                <w:rFonts w:ascii="Times New Roman" w:hAnsi="Times New Roman"/>
                <w:b/>
                <w:color w:val="000000"/>
              </w:rPr>
              <w:t>ych</w:t>
            </w:r>
            <w:r w:rsidRPr="00A87B3A">
              <w:rPr>
                <w:rFonts w:ascii="Times New Roman" w:hAnsi="Times New Roman"/>
                <w:b/>
                <w:color w:val="000000"/>
              </w:rPr>
              <w:t xml:space="preserve"> z projektu</w:t>
            </w:r>
          </w:p>
        </w:tc>
      </w:tr>
      <w:tr w:rsidR="00D86AFF" w:rsidRPr="00A87B3A" w14:paraId="2969DEF9" w14:textId="77777777" w:rsidTr="00676C8D">
        <w:trPr>
          <w:gridAfter w:val="1"/>
          <w:wAfter w:w="10" w:type="dxa"/>
          <w:trHeight w:val="151"/>
        </w:trPr>
        <w:tc>
          <w:tcPr>
            <w:tcW w:w="10937" w:type="dxa"/>
            <w:gridSpan w:val="29"/>
            <w:shd w:val="clear" w:color="auto" w:fill="FFFFFF"/>
          </w:tcPr>
          <w:p w14:paraId="5A6680D9" w14:textId="06413413" w:rsidR="00D86AFF" w:rsidRPr="00A87B3A" w:rsidRDefault="00815BC6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53868">
              <w:rPr>
                <w:rFonts w:ascii="Times New Roman" w:hAnsi="Times New Roman"/>
                <w:color w:val="000000"/>
              </w:rPr>
            </w:r>
            <w:r w:rsidR="00F53868">
              <w:rPr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</w:rPr>
              <w:fldChar w:fldCharType="end"/>
            </w:r>
            <w:r w:rsidR="00D86AFF"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="00D86AFF" w:rsidRPr="00A87B3A">
              <w:rPr>
                <w:rFonts w:ascii="Times New Roman" w:hAnsi="Times New Roman"/>
                <w:color w:val="000000"/>
                <w:spacing w:val="-2"/>
              </w:rPr>
              <w:t>nie dotyczy</w:t>
            </w:r>
          </w:p>
        </w:tc>
      </w:tr>
      <w:tr w:rsidR="00D86AFF" w:rsidRPr="00A87B3A" w14:paraId="1A6675DE" w14:textId="77777777" w:rsidTr="009629CE">
        <w:trPr>
          <w:gridAfter w:val="1"/>
          <w:wAfter w:w="10" w:type="dxa"/>
          <w:trHeight w:val="760"/>
        </w:trPr>
        <w:tc>
          <w:tcPr>
            <w:tcW w:w="5111" w:type="dxa"/>
            <w:gridSpan w:val="12"/>
            <w:shd w:val="clear" w:color="auto" w:fill="FFFFFF"/>
          </w:tcPr>
          <w:p w14:paraId="5D9BBDA3" w14:textId="77777777" w:rsidR="00D86AFF" w:rsidRPr="00A87B3A" w:rsidRDefault="00D86AFF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t xml:space="preserve">Wprowadzane są obciążenia poza bezwzględnie wymaganymi przez UE </w:t>
            </w:r>
            <w:r w:rsidRPr="00A87B3A">
              <w:rPr>
                <w:rFonts w:ascii="Times New Roman" w:hAnsi="Times New Roman"/>
                <w:color w:val="000000"/>
              </w:rPr>
              <w:t>(szczegóły w odwróconej tabeli zgodności).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3AC7057C" w14:textId="77777777" w:rsidR="00D86AFF" w:rsidRPr="00A87B3A" w:rsidRDefault="00D86AFF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53868">
              <w:rPr>
                <w:rFonts w:ascii="Times New Roman" w:hAnsi="Times New Roman"/>
                <w:color w:val="000000"/>
              </w:rPr>
            </w:r>
            <w:r w:rsidR="00F5386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002A35C6" w14:textId="77777777" w:rsidR="00D86AFF" w:rsidRPr="00A87B3A" w:rsidRDefault="00D86AFF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53868">
              <w:rPr>
                <w:rFonts w:ascii="Times New Roman" w:hAnsi="Times New Roman"/>
                <w:color w:val="000000"/>
              </w:rPr>
            </w:r>
            <w:r w:rsidR="00F5386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6E5DAA98" w14:textId="77777777" w:rsidR="00D86AFF" w:rsidRPr="00A87B3A" w:rsidRDefault="00D86AFF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53868">
              <w:rPr>
                <w:rFonts w:ascii="Times New Roman" w:hAnsi="Times New Roman"/>
                <w:color w:val="000000"/>
              </w:rPr>
            </w:r>
            <w:r w:rsidR="00F5386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1B3460" w:rsidRPr="00A87B3A" w14:paraId="39DA68D6" w14:textId="77777777" w:rsidTr="009629CE">
        <w:trPr>
          <w:gridAfter w:val="1"/>
          <w:wAfter w:w="10" w:type="dxa"/>
          <w:trHeight w:val="1125"/>
        </w:trPr>
        <w:tc>
          <w:tcPr>
            <w:tcW w:w="5111" w:type="dxa"/>
            <w:gridSpan w:val="12"/>
            <w:shd w:val="clear" w:color="auto" w:fill="FFFFFF"/>
          </w:tcPr>
          <w:p w14:paraId="67C4960B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53868">
              <w:rPr>
                <w:rFonts w:ascii="Times New Roman" w:hAnsi="Times New Roman"/>
                <w:color w:val="000000"/>
              </w:rPr>
            </w:r>
            <w:r w:rsidR="00F5386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 xml:space="preserve">zmniejszenie liczby dokumentów </w:t>
            </w:r>
          </w:p>
          <w:p w14:paraId="7BBD2060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53868">
              <w:rPr>
                <w:rFonts w:ascii="Times New Roman" w:hAnsi="Times New Roman"/>
                <w:color w:val="000000"/>
              </w:rPr>
            </w:r>
            <w:r w:rsidR="00F5386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zmniejszenie liczby procedur</w:t>
            </w:r>
          </w:p>
          <w:p w14:paraId="218FF0CC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53868">
              <w:rPr>
                <w:rFonts w:ascii="Times New Roman" w:hAnsi="Times New Roman"/>
                <w:color w:val="000000"/>
              </w:rPr>
            </w:r>
            <w:r w:rsidR="00F5386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skrócenie czasu</w:t>
            </w:r>
            <w:r w:rsidR="00CF5F4F" w:rsidRPr="00A87B3A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2A158792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53868">
              <w:rPr>
                <w:rFonts w:ascii="Times New Roman" w:hAnsi="Times New Roman"/>
                <w:color w:val="000000"/>
              </w:rPr>
            </w:r>
            <w:r w:rsidR="00F5386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A87B3A">
              <w:rPr>
                <w:rFonts w:ascii="Times New Roman" w:hAnsi="Times New Roman"/>
                <w:color w:val="000000"/>
              </w:rPr>
            </w:r>
            <w:r w:rsidRPr="00A87B3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16FEAE21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53868">
              <w:rPr>
                <w:rFonts w:ascii="Times New Roman" w:hAnsi="Times New Roman"/>
                <w:color w:val="000000"/>
              </w:rPr>
            </w:r>
            <w:r w:rsidR="00F5386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zwiększenie liczby dokumentów</w:t>
            </w:r>
          </w:p>
          <w:p w14:paraId="436AE368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53868">
              <w:rPr>
                <w:rFonts w:ascii="Times New Roman" w:hAnsi="Times New Roman"/>
                <w:color w:val="000000"/>
              </w:rPr>
            </w:r>
            <w:r w:rsidR="00F5386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zwiększenie liczby procedur</w:t>
            </w:r>
          </w:p>
          <w:p w14:paraId="76A2E831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53868">
              <w:rPr>
                <w:rFonts w:ascii="Times New Roman" w:hAnsi="Times New Roman"/>
                <w:color w:val="000000"/>
              </w:rPr>
            </w:r>
            <w:r w:rsidR="00F5386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wydłużenie czasu</w:t>
            </w:r>
            <w:r w:rsidR="00CF5F4F" w:rsidRPr="00A87B3A">
              <w:rPr>
                <w:rFonts w:ascii="Times New Roman" w:hAnsi="Times New Roman"/>
                <w:color w:val="000000"/>
                <w:spacing w:val="-2"/>
              </w:rPr>
              <w:t xml:space="preserve"> na załatwienie sprawy</w:t>
            </w:r>
          </w:p>
          <w:p w14:paraId="7766B27D" w14:textId="52D26804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53868">
              <w:rPr>
                <w:rFonts w:ascii="Times New Roman" w:hAnsi="Times New Roman"/>
                <w:color w:val="000000"/>
              </w:rPr>
            </w:r>
            <w:r w:rsidR="00F5386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inne:</w:t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A87B3A">
              <w:rPr>
                <w:rFonts w:ascii="Times New Roman" w:hAnsi="Times New Roman"/>
                <w:color w:val="000000"/>
              </w:rPr>
            </w:r>
            <w:r w:rsidRPr="00A87B3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</w:p>
        </w:tc>
      </w:tr>
      <w:tr w:rsidR="00BF0DA2" w:rsidRPr="00A87B3A" w14:paraId="68905108" w14:textId="77777777" w:rsidTr="00676C8D">
        <w:trPr>
          <w:gridAfter w:val="1"/>
          <w:wAfter w:w="10" w:type="dxa"/>
          <w:trHeight w:val="870"/>
        </w:trPr>
        <w:tc>
          <w:tcPr>
            <w:tcW w:w="5111" w:type="dxa"/>
            <w:gridSpan w:val="12"/>
            <w:shd w:val="clear" w:color="auto" w:fill="FFFFFF"/>
          </w:tcPr>
          <w:p w14:paraId="0AF4A44D" w14:textId="77777777" w:rsidR="00BF0DA2" w:rsidRPr="00A87B3A" w:rsidRDefault="00BF0DA2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  <w:spacing w:val="-2"/>
              </w:rPr>
              <w:lastRenderedPageBreak/>
              <w:t xml:space="preserve">Wprowadzane obciążenia są przystosowane do ich elektronizacji. </w:t>
            </w:r>
          </w:p>
        </w:tc>
        <w:tc>
          <w:tcPr>
            <w:tcW w:w="5826" w:type="dxa"/>
            <w:gridSpan w:val="17"/>
            <w:shd w:val="clear" w:color="auto" w:fill="FFFFFF"/>
          </w:tcPr>
          <w:p w14:paraId="664FC72E" w14:textId="77777777" w:rsidR="00BF0DA2" w:rsidRPr="00A87B3A" w:rsidRDefault="00BF0DA2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53868">
              <w:rPr>
                <w:rFonts w:ascii="Times New Roman" w:hAnsi="Times New Roman"/>
                <w:color w:val="000000"/>
              </w:rPr>
            </w:r>
            <w:r w:rsidR="00F5386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tak</w:t>
            </w:r>
          </w:p>
          <w:p w14:paraId="1D992C2B" w14:textId="77777777" w:rsidR="00BF0DA2" w:rsidRPr="00A87B3A" w:rsidRDefault="00BF0DA2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53868">
              <w:rPr>
                <w:rFonts w:ascii="Times New Roman" w:hAnsi="Times New Roman"/>
                <w:color w:val="000000"/>
              </w:rPr>
            </w:r>
            <w:r w:rsidR="00F5386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nie</w:t>
            </w:r>
          </w:p>
          <w:p w14:paraId="73503F10" w14:textId="6CED3884" w:rsidR="00117017" w:rsidRPr="00A87B3A" w:rsidRDefault="00BF0DA2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53868">
              <w:rPr>
                <w:rFonts w:ascii="Times New Roman" w:hAnsi="Times New Roman"/>
                <w:color w:val="000000"/>
              </w:rPr>
            </w:r>
            <w:r w:rsidR="00F5386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nie dotyczy</w:t>
            </w:r>
          </w:p>
        </w:tc>
      </w:tr>
      <w:tr w:rsidR="00117017" w:rsidRPr="00A87B3A" w14:paraId="3ECA3FFA" w14:textId="77777777" w:rsidTr="00676C8D">
        <w:trPr>
          <w:gridAfter w:val="1"/>
          <w:wAfter w:w="10" w:type="dxa"/>
          <w:trHeight w:val="630"/>
        </w:trPr>
        <w:tc>
          <w:tcPr>
            <w:tcW w:w="10937" w:type="dxa"/>
            <w:gridSpan w:val="29"/>
            <w:shd w:val="clear" w:color="auto" w:fill="FFFFFF"/>
          </w:tcPr>
          <w:p w14:paraId="03818271" w14:textId="6C400B51" w:rsidR="00117017" w:rsidRDefault="00117017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Komentarz:</w:t>
            </w:r>
          </w:p>
          <w:p w14:paraId="15462370" w14:textId="0960894F" w:rsidR="00117017" w:rsidRPr="00A87B3A" w:rsidRDefault="00815BC6" w:rsidP="00B57594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815BC6">
              <w:rPr>
                <w:rFonts w:ascii="Times New Roman" w:hAnsi="Times New Roman"/>
                <w:color w:val="000000"/>
              </w:rPr>
              <w:t>Wprowadzane przepisy zmieniają wielkość udziału, o którym mowa w art. 59 pkt 1 lub 2 ustawy</w:t>
            </w:r>
            <w:r w:rsidR="000A277E">
              <w:rPr>
                <w:rFonts w:ascii="Times New Roman" w:hAnsi="Times New Roman"/>
                <w:color w:val="000000"/>
              </w:rPr>
              <w:t xml:space="preserve"> o OZE</w:t>
            </w:r>
            <w:r w:rsidRPr="00815BC6">
              <w:rPr>
                <w:rFonts w:ascii="Times New Roman" w:hAnsi="Times New Roman"/>
                <w:color w:val="000000"/>
              </w:rPr>
              <w:t>. Przepisy nie wprowadzają nowych obciążeń regulacyjnych, realizują jedynie te wynikające z ustawy.</w:t>
            </w:r>
          </w:p>
        </w:tc>
      </w:tr>
      <w:tr w:rsidR="001B3460" w:rsidRPr="00A87B3A" w14:paraId="11BB7628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70052DD0" w14:textId="77777777" w:rsidR="001B3460" w:rsidRPr="00A87B3A" w:rsidRDefault="001B3460" w:rsidP="009629CE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 xml:space="preserve">Wpływ na rynek pracy </w:t>
            </w:r>
          </w:p>
        </w:tc>
      </w:tr>
      <w:tr w:rsidR="001B3460" w:rsidRPr="00A87B3A" w14:paraId="2C07E145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auto"/>
          </w:tcPr>
          <w:p w14:paraId="58C8D7B3" w14:textId="77777777" w:rsidR="001B3460" w:rsidRPr="00A87B3A" w:rsidRDefault="001B3460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B3460" w:rsidRPr="00A87B3A" w14:paraId="225F991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4559D57B" w14:textId="77777777" w:rsidR="001B3460" w:rsidRPr="00A87B3A" w:rsidRDefault="001B3460" w:rsidP="009629CE">
            <w:pPr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>Wpływ na pozostałe obszary</w:t>
            </w:r>
          </w:p>
        </w:tc>
      </w:tr>
      <w:tr w:rsidR="001B3460" w:rsidRPr="00A87B3A" w14:paraId="67EB953C" w14:textId="77777777" w:rsidTr="00676C8D">
        <w:trPr>
          <w:gridAfter w:val="1"/>
          <w:wAfter w:w="10" w:type="dxa"/>
          <w:trHeight w:val="1031"/>
        </w:trPr>
        <w:tc>
          <w:tcPr>
            <w:tcW w:w="3547" w:type="dxa"/>
            <w:gridSpan w:val="5"/>
            <w:shd w:val="clear" w:color="auto" w:fill="FFFFFF"/>
          </w:tcPr>
          <w:p w14:paraId="35D5FF08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53868">
              <w:rPr>
                <w:rFonts w:ascii="Times New Roman" w:hAnsi="Times New Roman"/>
                <w:color w:val="000000"/>
              </w:rPr>
            </w:r>
            <w:r w:rsidR="00F5386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środowisko naturalne</w:t>
            </w:r>
          </w:p>
          <w:p w14:paraId="6DA59ECF" w14:textId="65EE73C0" w:rsidR="001B3460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53868">
              <w:rPr>
                <w:rFonts w:ascii="Times New Roman" w:hAnsi="Times New Roman"/>
                <w:color w:val="000000"/>
              </w:rPr>
            </w:r>
            <w:r w:rsidR="00F5386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sytuacja i rozwój regionalny</w:t>
            </w:r>
          </w:p>
          <w:p w14:paraId="05CA614A" w14:textId="04B10212" w:rsidR="001B3460" w:rsidRPr="00A87B3A" w:rsidRDefault="00211B6F" w:rsidP="00211B6F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53868">
              <w:rPr>
                <w:rFonts w:ascii="Times New Roman" w:hAnsi="Times New Roman"/>
                <w:color w:val="000000"/>
              </w:rPr>
            </w:r>
            <w:r w:rsidR="00F5386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</w:rPr>
              <w:t>sądy powszechne, administracyjne lub wojskowe</w:t>
            </w:r>
          </w:p>
        </w:tc>
        <w:tc>
          <w:tcPr>
            <w:tcW w:w="3687" w:type="dxa"/>
            <w:gridSpan w:val="15"/>
            <w:shd w:val="clear" w:color="auto" w:fill="FFFFFF"/>
          </w:tcPr>
          <w:p w14:paraId="50C51481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53868">
              <w:rPr>
                <w:rFonts w:ascii="Times New Roman" w:hAnsi="Times New Roman"/>
                <w:color w:val="000000"/>
              </w:rPr>
            </w:r>
            <w:r w:rsidR="00F5386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demografia</w:t>
            </w:r>
          </w:p>
          <w:p w14:paraId="6EFF24BA" w14:textId="77777777" w:rsidR="001B3460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53868">
              <w:rPr>
                <w:rFonts w:ascii="Times New Roman" w:hAnsi="Times New Roman"/>
                <w:color w:val="000000"/>
              </w:rPr>
            </w:r>
            <w:r w:rsidR="00F5386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mienie państwowe</w:t>
            </w:r>
          </w:p>
          <w:p w14:paraId="33B0813D" w14:textId="4D30D880" w:rsidR="00211B6F" w:rsidRPr="00A87B3A" w:rsidRDefault="00211B6F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53868">
              <w:rPr>
                <w:rFonts w:ascii="Times New Roman" w:hAnsi="Times New Roman"/>
                <w:color w:val="000000"/>
              </w:rPr>
            </w:r>
            <w:r w:rsidR="00F5386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 xml:space="preserve">inne: </w:t>
            </w: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"/>
                  <w:enabled/>
                  <w:calcOnExit w:val="0"/>
                  <w:helpText w:type="text" w:val="W przypadku wyboru Upoważnienie ustawowe, Strategia lub Inne wpisz dokładnie źródła tj. jaka ustawa, tytuł strategii i jaki inny dokument"/>
                  <w:statusText w:type="text" w:val="W przypadku wyboru Upoważnienie ustawowe, Strategia lub Inne wpisz dokładnie źródła tj. jaka ustawa, tytuł strategii i jaki inny dokument"/>
                  <w:textInput/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FORMTEXT </w:instrText>
            </w:r>
            <w:r w:rsidRPr="00A87B3A">
              <w:rPr>
                <w:rFonts w:ascii="Times New Roman" w:hAnsi="Times New Roman"/>
                <w:color w:val="000000"/>
              </w:rPr>
            </w:r>
            <w:r w:rsidRPr="00A87B3A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noProof/>
                <w:color w:val="000000"/>
              </w:rPr>
              <w:t> </w:t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</w:p>
        </w:tc>
        <w:tc>
          <w:tcPr>
            <w:tcW w:w="3703" w:type="dxa"/>
            <w:gridSpan w:val="9"/>
            <w:shd w:val="clear" w:color="auto" w:fill="FFFFFF"/>
          </w:tcPr>
          <w:p w14:paraId="59B5BEFD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53868">
              <w:rPr>
                <w:rFonts w:ascii="Times New Roman" w:hAnsi="Times New Roman"/>
                <w:color w:val="000000"/>
              </w:rPr>
            </w:r>
            <w:r w:rsidR="00F5386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informatyzacja</w:t>
            </w:r>
          </w:p>
          <w:p w14:paraId="2C6CE074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7B3A">
              <w:rPr>
                <w:rFonts w:ascii="Times New Roman" w:hAnsi="Times New Roman"/>
                <w:color w:val="000000"/>
              </w:rPr>
              <w:instrText xml:space="preserve"> FORMCHECKBOX </w:instrText>
            </w:r>
            <w:r w:rsidR="00F53868">
              <w:rPr>
                <w:rFonts w:ascii="Times New Roman" w:hAnsi="Times New Roman"/>
                <w:color w:val="000000"/>
              </w:rPr>
            </w:r>
            <w:r w:rsidR="00F53868">
              <w:rPr>
                <w:rFonts w:ascii="Times New Roman" w:hAnsi="Times New Roman"/>
                <w:color w:val="000000"/>
              </w:rPr>
              <w:fldChar w:fldCharType="separate"/>
            </w:r>
            <w:r w:rsidRPr="00A87B3A">
              <w:rPr>
                <w:rFonts w:ascii="Times New Roman" w:hAnsi="Times New Roman"/>
                <w:color w:val="000000"/>
              </w:rPr>
              <w:fldChar w:fldCharType="end"/>
            </w:r>
            <w:r w:rsidRPr="00A87B3A">
              <w:rPr>
                <w:rFonts w:ascii="Times New Roman" w:hAnsi="Times New Roman"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color w:val="000000"/>
                <w:spacing w:val="-2"/>
              </w:rPr>
              <w:t>zdrowie</w:t>
            </w:r>
          </w:p>
        </w:tc>
      </w:tr>
      <w:tr w:rsidR="001B3460" w:rsidRPr="00A87B3A" w14:paraId="08ACA5DC" w14:textId="77777777" w:rsidTr="009629CE">
        <w:trPr>
          <w:gridAfter w:val="1"/>
          <w:wAfter w:w="10" w:type="dxa"/>
          <w:trHeight w:val="576"/>
        </w:trPr>
        <w:tc>
          <w:tcPr>
            <w:tcW w:w="2243" w:type="dxa"/>
            <w:gridSpan w:val="2"/>
            <w:shd w:val="clear" w:color="auto" w:fill="FFFFFF"/>
            <w:vAlign w:val="center"/>
          </w:tcPr>
          <w:p w14:paraId="53C9097E" w14:textId="77777777" w:rsidR="001B3460" w:rsidRPr="00A87B3A" w:rsidRDefault="001B3460" w:rsidP="009629CE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A87B3A">
              <w:rPr>
                <w:rFonts w:ascii="Times New Roman" w:hAnsi="Times New Roman"/>
                <w:color w:val="000000"/>
              </w:rPr>
              <w:t>Omówienie wpływu</w:t>
            </w:r>
          </w:p>
        </w:tc>
        <w:tc>
          <w:tcPr>
            <w:tcW w:w="8694" w:type="dxa"/>
            <w:gridSpan w:val="27"/>
            <w:shd w:val="clear" w:color="auto" w:fill="FFFFFF"/>
            <w:vAlign w:val="center"/>
          </w:tcPr>
          <w:p w14:paraId="627E19C9" w14:textId="77777777" w:rsidR="001B3460" w:rsidRPr="00A87B3A" w:rsidRDefault="001B3460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  <w:p w14:paraId="64AE2ACB" w14:textId="77777777" w:rsidR="001B3460" w:rsidRPr="00A87B3A" w:rsidRDefault="001B3460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  <w:tr w:rsidR="001B3460" w:rsidRPr="00A87B3A" w14:paraId="236DDB7A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6263A2EA" w14:textId="77777777" w:rsidR="001B3460" w:rsidRPr="00A87B3A" w:rsidRDefault="00A767D2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</w:rPr>
            </w:pPr>
            <w:r w:rsidRPr="00A87B3A">
              <w:rPr>
                <w:rFonts w:ascii="Times New Roman" w:hAnsi="Times New Roman"/>
                <w:b/>
                <w:spacing w:val="-2"/>
              </w:rPr>
              <w:t>Plan</w:t>
            </w:r>
            <w:r w:rsidR="00CF5F4F" w:rsidRPr="00A87B3A">
              <w:rPr>
                <w:rFonts w:ascii="Times New Roman" w:hAnsi="Times New Roman"/>
                <w:b/>
                <w:spacing w:val="-2"/>
              </w:rPr>
              <w:t>owane</w:t>
            </w:r>
            <w:r w:rsidRPr="00A87B3A">
              <w:rPr>
                <w:rFonts w:ascii="Times New Roman" w:hAnsi="Times New Roman"/>
                <w:b/>
                <w:spacing w:val="-2"/>
              </w:rPr>
              <w:t xml:space="preserve"> w</w:t>
            </w:r>
            <w:r w:rsidR="00627221" w:rsidRPr="00A87B3A">
              <w:rPr>
                <w:rFonts w:ascii="Times New Roman" w:hAnsi="Times New Roman"/>
                <w:b/>
                <w:spacing w:val="-2"/>
              </w:rPr>
              <w:t>ykonani</w:t>
            </w:r>
            <w:r w:rsidR="00CF5F4F" w:rsidRPr="00A87B3A">
              <w:rPr>
                <w:rFonts w:ascii="Times New Roman" w:hAnsi="Times New Roman"/>
                <w:b/>
                <w:spacing w:val="-2"/>
              </w:rPr>
              <w:t>e</w:t>
            </w:r>
            <w:r w:rsidR="00627221" w:rsidRPr="00A87B3A">
              <w:rPr>
                <w:rFonts w:ascii="Times New Roman" w:hAnsi="Times New Roman"/>
                <w:b/>
                <w:spacing w:val="-2"/>
              </w:rPr>
              <w:t xml:space="preserve"> przepisów aktu prawnego</w:t>
            </w:r>
          </w:p>
        </w:tc>
      </w:tr>
      <w:tr w:rsidR="001B3460" w:rsidRPr="00A87B3A" w14:paraId="34B3401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13AB7BA6" w14:textId="57804489" w:rsidR="009629CE" w:rsidRPr="00A87B3A" w:rsidRDefault="00815BC6" w:rsidP="00B57594">
            <w:pPr>
              <w:spacing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15BC6">
              <w:rPr>
                <w:rFonts w:ascii="Times New Roman" w:hAnsi="Times New Roman"/>
                <w:spacing w:val="-2"/>
              </w:rPr>
              <w:t xml:space="preserve">Przepisy dotyczą tzw. obowiązku OZE na </w:t>
            </w:r>
            <w:r w:rsidR="00F051F5">
              <w:rPr>
                <w:rFonts w:ascii="Times New Roman" w:hAnsi="Times New Roman"/>
                <w:spacing w:val="-2"/>
              </w:rPr>
              <w:t xml:space="preserve">lata </w:t>
            </w:r>
            <w:r w:rsidRPr="00815BC6">
              <w:rPr>
                <w:rFonts w:ascii="Times New Roman" w:hAnsi="Times New Roman"/>
                <w:spacing w:val="-2"/>
              </w:rPr>
              <w:t>202</w:t>
            </w:r>
            <w:r>
              <w:rPr>
                <w:rFonts w:ascii="Times New Roman" w:hAnsi="Times New Roman"/>
                <w:spacing w:val="-2"/>
              </w:rPr>
              <w:t>4</w:t>
            </w:r>
            <w:r w:rsidR="00822C85">
              <w:rPr>
                <w:rFonts w:ascii="Times New Roman" w:hAnsi="Times New Roman"/>
                <w:spacing w:val="-2"/>
              </w:rPr>
              <w:t xml:space="preserve">, 2025 i </w:t>
            </w:r>
            <w:r w:rsidR="00F051F5">
              <w:rPr>
                <w:rFonts w:ascii="Times New Roman" w:hAnsi="Times New Roman"/>
                <w:spacing w:val="-2"/>
              </w:rPr>
              <w:t xml:space="preserve">2026 </w:t>
            </w:r>
            <w:r w:rsidRPr="00815BC6">
              <w:rPr>
                <w:rFonts w:ascii="Times New Roman" w:hAnsi="Times New Roman"/>
                <w:spacing w:val="-2"/>
              </w:rPr>
              <w:t>r.</w:t>
            </w:r>
          </w:p>
        </w:tc>
      </w:tr>
      <w:tr w:rsidR="001B3460" w:rsidRPr="00A87B3A" w14:paraId="4832BFD7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5BAE48FC" w14:textId="77777777" w:rsidR="001B3460" w:rsidRPr="00A87B3A" w:rsidRDefault="001B3460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A87B3A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A87B3A">
              <w:rPr>
                <w:rFonts w:ascii="Times New Roman" w:hAnsi="Times New Roman"/>
                <w:b/>
                <w:spacing w:val="-2"/>
              </w:rPr>
              <w:t xml:space="preserve">W jaki sposób i kiedy nastąpi ewaluacja efektów projektu </w:t>
            </w:r>
            <w:r w:rsidR="00A47BDF" w:rsidRPr="00A87B3A">
              <w:rPr>
                <w:rFonts w:ascii="Times New Roman" w:hAnsi="Times New Roman"/>
                <w:b/>
                <w:spacing w:val="-2"/>
              </w:rPr>
              <w:t>oraz</w:t>
            </w:r>
            <w:r w:rsidRPr="00A87B3A">
              <w:rPr>
                <w:rFonts w:ascii="Times New Roman" w:hAnsi="Times New Roman"/>
                <w:b/>
                <w:spacing w:val="-2"/>
              </w:rPr>
              <w:t xml:space="preserve"> jakie mierniki zostaną </w:t>
            </w:r>
            <w:r w:rsidR="00C33027" w:rsidRPr="00A87B3A">
              <w:rPr>
                <w:rFonts w:ascii="Times New Roman" w:hAnsi="Times New Roman"/>
                <w:b/>
                <w:spacing w:val="-2"/>
              </w:rPr>
              <w:t>zastosowane?</w:t>
            </w:r>
          </w:p>
        </w:tc>
      </w:tr>
      <w:tr w:rsidR="001B3460" w:rsidRPr="00A87B3A" w14:paraId="5598337C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0BCEFC76" w14:textId="0CEC0FED" w:rsidR="00540C0A" w:rsidRPr="00540C0A" w:rsidRDefault="00540C0A" w:rsidP="00540C0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40C0A">
              <w:rPr>
                <w:rFonts w:ascii="Times New Roman" w:hAnsi="Times New Roman"/>
                <w:color w:val="000000"/>
                <w:spacing w:val="-2"/>
              </w:rPr>
              <w:t>Ewaluacja</w:t>
            </w:r>
            <w:r w:rsidR="00822C85">
              <w:rPr>
                <w:rFonts w:ascii="Times New Roman" w:hAnsi="Times New Roman"/>
                <w:color w:val="000000"/>
                <w:spacing w:val="-2"/>
              </w:rPr>
              <w:t xml:space="preserve"> jest</w:t>
            </w:r>
            <w:r w:rsidRPr="00540C0A">
              <w:rPr>
                <w:rFonts w:ascii="Times New Roman" w:hAnsi="Times New Roman"/>
                <w:color w:val="000000"/>
                <w:spacing w:val="-2"/>
              </w:rPr>
              <w:t xml:space="preserve"> dokonana </w:t>
            </w:r>
            <w:r w:rsidR="00822C85">
              <w:rPr>
                <w:rFonts w:ascii="Times New Roman" w:hAnsi="Times New Roman"/>
                <w:color w:val="000000"/>
                <w:spacing w:val="-2"/>
              </w:rPr>
              <w:t>w sposób ciągły na przestrzeni czasu</w:t>
            </w:r>
            <w:r w:rsidR="0025613D">
              <w:rPr>
                <w:rFonts w:ascii="Times New Roman" w:hAnsi="Times New Roman"/>
                <w:color w:val="000000"/>
                <w:spacing w:val="-2"/>
              </w:rPr>
              <w:t>,</w:t>
            </w:r>
            <w:r w:rsidR="00822C85">
              <w:rPr>
                <w:rFonts w:ascii="Times New Roman" w:hAnsi="Times New Roman"/>
                <w:color w:val="000000"/>
                <w:spacing w:val="-2"/>
              </w:rPr>
              <w:t xml:space="preserve"> w któr</w:t>
            </w:r>
            <w:r w:rsidR="009D63FA">
              <w:rPr>
                <w:rFonts w:ascii="Times New Roman" w:hAnsi="Times New Roman"/>
                <w:color w:val="000000"/>
                <w:spacing w:val="-2"/>
              </w:rPr>
              <w:t>ej</w:t>
            </w:r>
            <w:r w:rsidR="00822C85">
              <w:rPr>
                <w:rFonts w:ascii="Times New Roman" w:hAnsi="Times New Roman"/>
                <w:color w:val="000000"/>
                <w:spacing w:val="-2"/>
              </w:rPr>
              <w:t xml:space="preserve"> możliwa jest</w:t>
            </w:r>
            <w:r w:rsidRPr="00540C0A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="009D63FA" w:rsidRPr="00540C0A">
              <w:rPr>
                <w:rFonts w:ascii="Times New Roman" w:hAnsi="Times New Roman"/>
                <w:color w:val="000000"/>
                <w:spacing w:val="-2"/>
              </w:rPr>
              <w:t>realizacj</w:t>
            </w:r>
            <w:r w:rsidR="009D63FA">
              <w:rPr>
                <w:rFonts w:ascii="Times New Roman" w:hAnsi="Times New Roman"/>
                <w:color w:val="000000"/>
                <w:spacing w:val="-2"/>
              </w:rPr>
              <w:t>a</w:t>
            </w:r>
            <w:r w:rsidR="009D63FA" w:rsidRPr="00540C0A"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540C0A">
              <w:rPr>
                <w:rFonts w:ascii="Times New Roman" w:hAnsi="Times New Roman"/>
                <w:color w:val="000000"/>
                <w:spacing w:val="-2"/>
              </w:rPr>
              <w:t xml:space="preserve">delegacji ustawowej zawartej w art. 60 ustawy o </w:t>
            </w:r>
            <w:r w:rsidR="000A277E">
              <w:rPr>
                <w:rFonts w:ascii="Times New Roman" w:hAnsi="Times New Roman"/>
                <w:color w:val="000000"/>
                <w:spacing w:val="-2"/>
              </w:rPr>
              <w:t>OZE</w:t>
            </w:r>
            <w:r w:rsidRPr="00540C0A">
              <w:rPr>
                <w:rFonts w:ascii="Times New Roman" w:hAnsi="Times New Roman"/>
                <w:color w:val="000000"/>
                <w:spacing w:val="-2"/>
              </w:rPr>
              <w:t xml:space="preserve"> w kolejnych latach.</w:t>
            </w:r>
            <w:r w:rsidR="0025613D">
              <w:rPr>
                <w:rFonts w:ascii="Times New Roman" w:hAnsi="Times New Roman"/>
                <w:color w:val="000000"/>
                <w:spacing w:val="-2"/>
              </w:rPr>
              <w:t xml:space="preserve"> Możliwa jest zmiana wielkości udziału na lata 2025 </w:t>
            </w:r>
            <w:r w:rsidR="00C16956">
              <w:rPr>
                <w:rFonts w:ascii="Times New Roman" w:hAnsi="Times New Roman"/>
                <w:color w:val="000000"/>
                <w:spacing w:val="-2"/>
              </w:rPr>
              <w:br/>
            </w:r>
            <w:r w:rsidR="0025613D">
              <w:rPr>
                <w:rFonts w:ascii="Times New Roman" w:hAnsi="Times New Roman"/>
                <w:color w:val="000000"/>
                <w:spacing w:val="-2"/>
              </w:rPr>
              <w:t xml:space="preserve">i 2026 gdyby nastąpiły zdarzenia nieprzewidziane przy ustalaniu aktualnych wielkości udziału na te lata, np. </w:t>
            </w:r>
            <w:r w:rsidR="004B7CE2">
              <w:rPr>
                <w:rFonts w:ascii="Times New Roman" w:hAnsi="Times New Roman"/>
                <w:color w:val="000000"/>
                <w:spacing w:val="-2"/>
              </w:rPr>
              <w:t>istotna zmiana ilości energii</w:t>
            </w:r>
            <w:r w:rsidR="0025613D">
              <w:rPr>
                <w:rFonts w:ascii="Times New Roman" w:hAnsi="Times New Roman"/>
                <w:color w:val="000000"/>
                <w:spacing w:val="-2"/>
              </w:rPr>
              <w:t xml:space="preserve"> sprzeda</w:t>
            </w:r>
            <w:r w:rsidR="004B7CE2">
              <w:rPr>
                <w:rFonts w:ascii="Times New Roman" w:hAnsi="Times New Roman"/>
                <w:color w:val="000000"/>
                <w:spacing w:val="-2"/>
              </w:rPr>
              <w:t>wanej</w:t>
            </w:r>
            <w:r w:rsidR="0025613D">
              <w:rPr>
                <w:rFonts w:ascii="Times New Roman" w:hAnsi="Times New Roman"/>
                <w:color w:val="000000"/>
                <w:spacing w:val="-2"/>
              </w:rPr>
              <w:t xml:space="preserve"> do obiorców końcowych spowodowana</w:t>
            </w:r>
            <w:r w:rsidR="004B7CE2">
              <w:rPr>
                <w:rFonts w:ascii="Times New Roman" w:hAnsi="Times New Roman"/>
                <w:color w:val="000000"/>
                <w:spacing w:val="-2"/>
              </w:rPr>
              <w:t xml:space="preserve"> czynnikami zewnętrznymi.</w:t>
            </w:r>
          </w:p>
          <w:p w14:paraId="5C0C0E94" w14:textId="14DABB3D" w:rsidR="009629CE" w:rsidRPr="00A87B3A" w:rsidRDefault="00540C0A" w:rsidP="00F75927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  <w:r w:rsidRPr="00540C0A">
              <w:rPr>
                <w:rFonts w:ascii="Times New Roman" w:hAnsi="Times New Roman"/>
                <w:color w:val="000000"/>
                <w:spacing w:val="-2"/>
              </w:rPr>
              <w:t>Do ewaluacji wykorzystane zostaną mierniki wskazane w ww. ustawie, tj. rodzaj podmiotu zobowiązanego, ilość wytworzonej energii elektrycznej w mikroinstalacjach i w małych instalacjach, zobowiązania wynikające z umów międzynarodowych, dotychczasowa wielkość udziału energii elektrycznej i paliw pozyskiwanych z odnawialnych źródeł energii w ogólnej ilości energii i paliw zużywanych w energetyce oraz w transporcie, ilość wytworzonego biogazu rolniczego, a także wysokość ceny energii elektrycznej na rynku konkurencyjnym.</w:t>
            </w:r>
          </w:p>
        </w:tc>
      </w:tr>
      <w:tr w:rsidR="001B3460" w:rsidRPr="00A87B3A" w14:paraId="3E1502A6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99CCFF"/>
          </w:tcPr>
          <w:p w14:paraId="4AFBEF38" w14:textId="77777777" w:rsidR="001B3460" w:rsidRPr="00A87B3A" w:rsidRDefault="001B3460" w:rsidP="009629CE">
            <w:pPr>
              <w:numPr>
                <w:ilvl w:val="0"/>
                <w:numId w:val="3"/>
              </w:numPr>
              <w:spacing w:line="240" w:lineRule="auto"/>
              <w:ind w:left="318" w:hanging="284"/>
              <w:jc w:val="both"/>
              <w:rPr>
                <w:rFonts w:ascii="Times New Roman" w:hAnsi="Times New Roman"/>
                <w:b/>
                <w:color w:val="000000"/>
                <w:spacing w:val="-2"/>
              </w:rPr>
            </w:pPr>
            <w:r w:rsidRPr="00A87B3A">
              <w:rPr>
                <w:rFonts w:ascii="Times New Roman" w:hAnsi="Times New Roman"/>
                <w:b/>
                <w:color w:val="000000"/>
                <w:spacing w:val="-2"/>
              </w:rPr>
              <w:t xml:space="preserve">Załączniki </w:t>
            </w:r>
            <w:r w:rsidRPr="00A87B3A">
              <w:rPr>
                <w:rFonts w:ascii="Times New Roman" w:hAnsi="Times New Roman"/>
                <w:b/>
                <w:spacing w:val="-2"/>
              </w:rPr>
              <w:t xml:space="preserve">(istotne dokumenty źródłowe, badania, analizy </w:t>
            </w:r>
            <w:r w:rsidR="00C33027" w:rsidRPr="00A87B3A">
              <w:rPr>
                <w:rFonts w:ascii="Times New Roman" w:hAnsi="Times New Roman"/>
                <w:b/>
                <w:spacing w:val="-2"/>
              </w:rPr>
              <w:t>itp.</w:t>
            </w:r>
            <w:r w:rsidRPr="00A87B3A">
              <w:rPr>
                <w:rFonts w:ascii="Times New Roman" w:hAnsi="Times New Roman"/>
                <w:b/>
                <w:color w:val="000000"/>
                <w:spacing w:val="-2"/>
              </w:rPr>
              <w:t xml:space="preserve">) </w:t>
            </w:r>
          </w:p>
        </w:tc>
      </w:tr>
      <w:tr w:rsidR="001B3460" w:rsidRPr="00A87B3A" w14:paraId="758947DE" w14:textId="77777777" w:rsidTr="00676C8D">
        <w:trPr>
          <w:gridAfter w:val="1"/>
          <w:wAfter w:w="10" w:type="dxa"/>
          <w:trHeight w:val="142"/>
        </w:trPr>
        <w:tc>
          <w:tcPr>
            <w:tcW w:w="10937" w:type="dxa"/>
            <w:gridSpan w:val="29"/>
            <w:shd w:val="clear" w:color="auto" w:fill="FFFFFF"/>
          </w:tcPr>
          <w:p w14:paraId="0EEEADAC" w14:textId="2E4E9538" w:rsidR="009629CE" w:rsidRPr="00A87B3A" w:rsidRDefault="009629CE" w:rsidP="009629C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pacing w:val="-2"/>
              </w:rPr>
            </w:pPr>
          </w:p>
        </w:tc>
      </w:tr>
    </w:tbl>
    <w:p w14:paraId="45AC0404" w14:textId="675F4321" w:rsidR="006176ED" w:rsidRPr="00A87B3A" w:rsidRDefault="006176ED" w:rsidP="001E1D0D">
      <w:pPr>
        <w:pStyle w:val="Nagwek1"/>
        <w:spacing w:before="0" w:after="0"/>
        <w:jc w:val="center"/>
        <w:rPr>
          <w:rFonts w:ascii="Times New Roman" w:hAnsi="Times New Roman"/>
        </w:rPr>
      </w:pPr>
    </w:p>
    <w:sectPr w:rsidR="006176ED" w:rsidRPr="00A87B3A" w:rsidSect="00725DE7">
      <w:pgSz w:w="11906" w:h="16838"/>
      <w:pgMar w:top="568" w:right="707" w:bottom="568" w:left="720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DFBD" w14:textId="77777777" w:rsidR="00551FB4" w:rsidRDefault="00551FB4" w:rsidP="00044739">
      <w:pPr>
        <w:spacing w:line="240" w:lineRule="auto"/>
      </w:pPr>
      <w:r>
        <w:separator/>
      </w:r>
    </w:p>
  </w:endnote>
  <w:endnote w:type="continuationSeparator" w:id="0">
    <w:p w14:paraId="36093033" w14:textId="77777777" w:rsidR="00551FB4" w:rsidRDefault="00551FB4" w:rsidP="000447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154F6" w14:textId="77777777" w:rsidR="00551FB4" w:rsidRDefault="00551FB4" w:rsidP="00044739">
      <w:pPr>
        <w:spacing w:line="240" w:lineRule="auto"/>
      </w:pPr>
      <w:r>
        <w:separator/>
      </w:r>
    </w:p>
  </w:footnote>
  <w:footnote w:type="continuationSeparator" w:id="0">
    <w:p w14:paraId="405942AB" w14:textId="77777777" w:rsidR="00551FB4" w:rsidRDefault="00551FB4" w:rsidP="000447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4FE"/>
    <w:multiLevelType w:val="hybridMultilevel"/>
    <w:tmpl w:val="AB043866"/>
    <w:lvl w:ilvl="0" w:tplc="04150011">
      <w:start w:val="1"/>
      <w:numFmt w:val="decimal"/>
      <w:lvlText w:val="%1)"/>
      <w:lvlJc w:val="left"/>
      <w:pPr>
        <w:ind w:left="949" w:hanging="360"/>
      </w:pPr>
    </w:lvl>
    <w:lvl w:ilvl="1" w:tplc="04150019">
      <w:start w:val="1"/>
      <w:numFmt w:val="lowerLetter"/>
      <w:lvlText w:val="%2."/>
      <w:lvlJc w:val="left"/>
      <w:pPr>
        <w:ind w:left="1669" w:hanging="360"/>
      </w:pPr>
    </w:lvl>
    <w:lvl w:ilvl="2" w:tplc="0415001B">
      <w:start w:val="1"/>
      <w:numFmt w:val="lowerRoman"/>
      <w:lvlText w:val="%3."/>
      <w:lvlJc w:val="right"/>
      <w:pPr>
        <w:ind w:left="2389" w:hanging="180"/>
      </w:pPr>
    </w:lvl>
    <w:lvl w:ilvl="3" w:tplc="0415000F">
      <w:start w:val="1"/>
      <w:numFmt w:val="decimal"/>
      <w:lvlText w:val="%4."/>
      <w:lvlJc w:val="left"/>
      <w:pPr>
        <w:ind w:left="3109" w:hanging="360"/>
      </w:pPr>
    </w:lvl>
    <w:lvl w:ilvl="4" w:tplc="04150019">
      <w:start w:val="1"/>
      <w:numFmt w:val="lowerLetter"/>
      <w:lvlText w:val="%5."/>
      <w:lvlJc w:val="left"/>
      <w:pPr>
        <w:ind w:left="3829" w:hanging="360"/>
      </w:pPr>
    </w:lvl>
    <w:lvl w:ilvl="5" w:tplc="0415001B">
      <w:start w:val="1"/>
      <w:numFmt w:val="lowerRoman"/>
      <w:lvlText w:val="%6."/>
      <w:lvlJc w:val="right"/>
      <w:pPr>
        <w:ind w:left="4549" w:hanging="180"/>
      </w:pPr>
    </w:lvl>
    <w:lvl w:ilvl="6" w:tplc="0415000F">
      <w:start w:val="1"/>
      <w:numFmt w:val="decimal"/>
      <w:lvlText w:val="%7."/>
      <w:lvlJc w:val="left"/>
      <w:pPr>
        <w:ind w:left="5269" w:hanging="360"/>
      </w:pPr>
    </w:lvl>
    <w:lvl w:ilvl="7" w:tplc="04150019">
      <w:start w:val="1"/>
      <w:numFmt w:val="lowerLetter"/>
      <w:lvlText w:val="%8."/>
      <w:lvlJc w:val="left"/>
      <w:pPr>
        <w:ind w:left="5989" w:hanging="360"/>
      </w:pPr>
    </w:lvl>
    <w:lvl w:ilvl="8" w:tplc="0415001B">
      <w:start w:val="1"/>
      <w:numFmt w:val="lowerRoman"/>
      <w:lvlText w:val="%9."/>
      <w:lvlJc w:val="right"/>
      <w:pPr>
        <w:ind w:left="6709" w:hanging="180"/>
      </w:pPr>
    </w:lvl>
  </w:abstractNum>
  <w:abstractNum w:abstractNumId="1" w15:restartNumberingAfterBreak="0">
    <w:nsid w:val="04EE4F79"/>
    <w:multiLevelType w:val="hybridMultilevel"/>
    <w:tmpl w:val="5E823C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E2B58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4BFC"/>
    <w:multiLevelType w:val="hybridMultilevel"/>
    <w:tmpl w:val="D93EB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77B2F"/>
    <w:multiLevelType w:val="hybridMultilevel"/>
    <w:tmpl w:val="24346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92349"/>
    <w:multiLevelType w:val="hybridMultilevel"/>
    <w:tmpl w:val="F1FC0650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2610BC42">
      <w:start w:val="1"/>
      <w:numFmt w:val="bullet"/>
      <w:lvlText w:val=""/>
      <w:lvlJc w:val="left"/>
      <w:pPr>
        <w:tabs>
          <w:tab w:val="num" w:pos="1767"/>
        </w:tabs>
        <w:ind w:left="17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6" w15:restartNumberingAfterBreak="0">
    <w:nsid w:val="15B32558"/>
    <w:multiLevelType w:val="hybridMultilevel"/>
    <w:tmpl w:val="2430A6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23D91"/>
    <w:multiLevelType w:val="hybridMultilevel"/>
    <w:tmpl w:val="29A04C7E"/>
    <w:lvl w:ilvl="0" w:tplc="A31018B0">
      <w:start w:val="1"/>
      <w:numFmt w:val="decimal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4D263FF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EE2A02"/>
    <w:multiLevelType w:val="multilevel"/>
    <w:tmpl w:val="3EE2E83E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21CD007E"/>
    <w:multiLevelType w:val="hybridMultilevel"/>
    <w:tmpl w:val="FC0C11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DF723B"/>
    <w:multiLevelType w:val="multilevel"/>
    <w:tmpl w:val="42ECDCCE"/>
    <w:lvl w:ilvl="0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11" w15:restartNumberingAfterBreak="0">
    <w:nsid w:val="279D6C8D"/>
    <w:multiLevelType w:val="hybridMultilevel"/>
    <w:tmpl w:val="DD34B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62E44"/>
    <w:multiLevelType w:val="hybridMultilevel"/>
    <w:tmpl w:val="514888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032738"/>
    <w:multiLevelType w:val="hybridMultilevel"/>
    <w:tmpl w:val="DA14B678"/>
    <w:lvl w:ilvl="0" w:tplc="04150011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B1EDD"/>
    <w:multiLevelType w:val="hybridMultilevel"/>
    <w:tmpl w:val="95FA285E"/>
    <w:lvl w:ilvl="0" w:tplc="0415000F">
      <w:start w:val="1"/>
      <w:numFmt w:val="decimal"/>
      <w:lvlText w:val="%1."/>
      <w:lvlJc w:val="left"/>
      <w:pPr>
        <w:tabs>
          <w:tab w:val="num" w:pos="1047"/>
        </w:tabs>
        <w:ind w:left="104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67"/>
        </w:tabs>
        <w:ind w:left="17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87"/>
        </w:tabs>
        <w:ind w:left="24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27"/>
        </w:tabs>
        <w:ind w:left="39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47"/>
        </w:tabs>
        <w:ind w:left="46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87"/>
        </w:tabs>
        <w:ind w:left="60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07"/>
        </w:tabs>
        <w:ind w:left="6807" w:hanging="180"/>
      </w:pPr>
    </w:lvl>
  </w:abstractNum>
  <w:abstractNum w:abstractNumId="16" w15:restartNumberingAfterBreak="0">
    <w:nsid w:val="3B65511A"/>
    <w:multiLevelType w:val="hybridMultilevel"/>
    <w:tmpl w:val="4CAA9CB6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E255169"/>
    <w:multiLevelType w:val="hybridMultilevel"/>
    <w:tmpl w:val="019E7FFA"/>
    <w:lvl w:ilvl="0" w:tplc="17744644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E5730E"/>
    <w:multiLevelType w:val="hybridMultilevel"/>
    <w:tmpl w:val="3C7829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E361A"/>
    <w:multiLevelType w:val="hybridMultilevel"/>
    <w:tmpl w:val="3AE85FAA"/>
    <w:lvl w:ilvl="0" w:tplc="04150011">
      <w:start w:val="1"/>
      <w:numFmt w:val="decimal"/>
      <w:lvlText w:val="%1)"/>
      <w:lvlJc w:val="left"/>
      <w:pPr>
        <w:tabs>
          <w:tab w:val="num" w:pos="1047"/>
        </w:tabs>
        <w:ind w:left="104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67"/>
        </w:tabs>
        <w:ind w:left="176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487"/>
        </w:tabs>
        <w:ind w:left="248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07"/>
        </w:tabs>
        <w:ind w:left="320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27"/>
        </w:tabs>
        <w:ind w:left="392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47"/>
        </w:tabs>
        <w:ind w:left="464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67"/>
        </w:tabs>
        <w:ind w:left="5367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87"/>
        </w:tabs>
        <w:ind w:left="608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07"/>
        </w:tabs>
        <w:ind w:left="6807" w:hanging="360"/>
      </w:pPr>
    </w:lvl>
  </w:abstractNum>
  <w:abstractNum w:abstractNumId="20" w15:restartNumberingAfterBreak="0">
    <w:nsid w:val="4FE2470D"/>
    <w:multiLevelType w:val="hybridMultilevel"/>
    <w:tmpl w:val="3CBA0B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461DEA"/>
    <w:multiLevelType w:val="hybridMultilevel"/>
    <w:tmpl w:val="80049DC2"/>
    <w:lvl w:ilvl="0" w:tplc="C79E83AC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59863083"/>
    <w:multiLevelType w:val="hybridMultilevel"/>
    <w:tmpl w:val="B28ADCD0"/>
    <w:lvl w:ilvl="0" w:tplc="69624922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DBB20EB"/>
    <w:multiLevelType w:val="hybridMultilevel"/>
    <w:tmpl w:val="10E6B354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417BAC"/>
    <w:multiLevelType w:val="hybridMultilevel"/>
    <w:tmpl w:val="7ACED012"/>
    <w:lvl w:ilvl="0" w:tplc="6962492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 w15:restartNumberingAfterBreak="0">
    <w:nsid w:val="61DD2B62"/>
    <w:multiLevelType w:val="hybridMultilevel"/>
    <w:tmpl w:val="9CBC5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C56F97"/>
    <w:multiLevelType w:val="hybridMultilevel"/>
    <w:tmpl w:val="07FCC90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 w15:restartNumberingAfterBreak="0">
    <w:nsid w:val="6FFD0546"/>
    <w:multiLevelType w:val="hybridMultilevel"/>
    <w:tmpl w:val="EFCC1B3A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F61D88"/>
    <w:multiLevelType w:val="hybridMultilevel"/>
    <w:tmpl w:val="E640B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64B50"/>
    <w:multiLevelType w:val="hybridMultilevel"/>
    <w:tmpl w:val="16C045B8"/>
    <w:lvl w:ilvl="0" w:tplc="FF5892A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79110A"/>
    <w:multiLevelType w:val="hybridMultilevel"/>
    <w:tmpl w:val="CBEE16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9464349">
    <w:abstractNumId w:val="7"/>
  </w:num>
  <w:num w:numId="2" w16cid:durableId="563103164">
    <w:abstractNumId w:val="1"/>
  </w:num>
  <w:num w:numId="3" w16cid:durableId="191695809">
    <w:abstractNumId w:val="14"/>
  </w:num>
  <w:num w:numId="4" w16cid:durableId="705377536">
    <w:abstractNumId w:val="25"/>
  </w:num>
  <w:num w:numId="5" w16cid:durableId="944655354">
    <w:abstractNumId w:val="2"/>
  </w:num>
  <w:num w:numId="6" w16cid:durableId="2120292747">
    <w:abstractNumId w:val="11"/>
  </w:num>
  <w:num w:numId="7" w16cid:durableId="678847887">
    <w:abstractNumId w:val="18"/>
  </w:num>
  <w:num w:numId="8" w16cid:durableId="159388104">
    <w:abstractNumId w:val="8"/>
  </w:num>
  <w:num w:numId="9" w16cid:durableId="909343759">
    <w:abstractNumId w:val="21"/>
  </w:num>
  <w:num w:numId="10" w16cid:durableId="698245077">
    <w:abstractNumId w:val="16"/>
  </w:num>
  <w:num w:numId="11" w16cid:durableId="1009219170">
    <w:abstractNumId w:val="19"/>
  </w:num>
  <w:num w:numId="12" w16cid:durableId="265892925">
    <w:abstractNumId w:val="5"/>
  </w:num>
  <w:num w:numId="13" w16cid:durableId="709309164">
    <w:abstractNumId w:val="15"/>
  </w:num>
  <w:num w:numId="14" w16cid:durableId="865406582">
    <w:abstractNumId w:val="26"/>
  </w:num>
  <w:num w:numId="15" w16cid:durableId="1029799397">
    <w:abstractNumId w:val="22"/>
  </w:num>
  <w:num w:numId="16" w16cid:durableId="346756960">
    <w:abstractNumId w:val="24"/>
  </w:num>
  <w:num w:numId="17" w16cid:durableId="1528375367">
    <w:abstractNumId w:val="9"/>
  </w:num>
  <w:num w:numId="18" w16cid:durableId="1491486083">
    <w:abstractNumId w:val="27"/>
  </w:num>
  <w:num w:numId="19" w16cid:durableId="463698975">
    <w:abstractNumId w:val="29"/>
  </w:num>
  <w:num w:numId="20" w16cid:durableId="1428500218">
    <w:abstractNumId w:val="23"/>
  </w:num>
  <w:num w:numId="21" w16cid:durableId="162746228">
    <w:abstractNumId w:val="10"/>
  </w:num>
  <w:num w:numId="22" w16cid:durableId="963537200">
    <w:abstractNumId w:val="3"/>
  </w:num>
  <w:num w:numId="23" w16cid:durableId="1202208429">
    <w:abstractNumId w:val="30"/>
  </w:num>
  <w:num w:numId="24" w16cid:durableId="1579091691">
    <w:abstractNumId w:val="20"/>
  </w:num>
  <w:num w:numId="25" w16cid:durableId="1099451356">
    <w:abstractNumId w:val="13"/>
  </w:num>
  <w:num w:numId="26" w16cid:durableId="613486098">
    <w:abstractNumId w:val="6"/>
  </w:num>
  <w:num w:numId="27" w16cid:durableId="2120449738">
    <w:abstractNumId w:val="4"/>
  </w:num>
  <w:num w:numId="28" w16cid:durableId="1442604624">
    <w:abstractNumId w:val="17"/>
  </w:num>
  <w:num w:numId="29" w16cid:durableId="2049061607">
    <w:abstractNumId w:val="12"/>
  </w:num>
  <w:num w:numId="30" w16cid:durableId="1839079226">
    <w:abstractNumId w:val="28"/>
  </w:num>
  <w:num w:numId="31" w16cid:durableId="18638606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31084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6CB"/>
    <w:rsid w:val="000008E5"/>
    <w:rsid w:val="00000C5E"/>
    <w:rsid w:val="000015EE"/>
    <w:rsid w:val="000022D5"/>
    <w:rsid w:val="00004C6A"/>
    <w:rsid w:val="00012D11"/>
    <w:rsid w:val="00013EB5"/>
    <w:rsid w:val="00014AF9"/>
    <w:rsid w:val="00023836"/>
    <w:rsid w:val="00024448"/>
    <w:rsid w:val="000356A9"/>
    <w:rsid w:val="00044138"/>
    <w:rsid w:val="00044739"/>
    <w:rsid w:val="00046C67"/>
    <w:rsid w:val="00051637"/>
    <w:rsid w:val="00052DFB"/>
    <w:rsid w:val="00055834"/>
    <w:rsid w:val="00056681"/>
    <w:rsid w:val="00060F88"/>
    <w:rsid w:val="00064017"/>
    <w:rsid w:val="000648A7"/>
    <w:rsid w:val="0006618B"/>
    <w:rsid w:val="000670C0"/>
    <w:rsid w:val="00071B99"/>
    <w:rsid w:val="000756E5"/>
    <w:rsid w:val="0007704E"/>
    <w:rsid w:val="00080EC8"/>
    <w:rsid w:val="000811DC"/>
    <w:rsid w:val="0009445A"/>
    <w:rsid w:val="000944AC"/>
    <w:rsid w:val="00094CB9"/>
    <w:rsid w:val="000956B2"/>
    <w:rsid w:val="000969E7"/>
    <w:rsid w:val="000A23DE"/>
    <w:rsid w:val="000A277E"/>
    <w:rsid w:val="000A4020"/>
    <w:rsid w:val="000B54FB"/>
    <w:rsid w:val="000B6692"/>
    <w:rsid w:val="000C184E"/>
    <w:rsid w:val="000C29B0"/>
    <w:rsid w:val="000C76FC"/>
    <w:rsid w:val="000D33AE"/>
    <w:rsid w:val="000D38FC"/>
    <w:rsid w:val="000D4D90"/>
    <w:rsid w:val="000E2D10"/>
    <w:rsid w:val="000E7128"/>
    <w:rsid w:val="000F3204"/>
    <w:rsid w:val="0010548B"/>
    <w:rsid w:val="001072D1"/>
    <w:rsid w:val="0011620E"/>
    <w:rsid w:val="00117017"/>
    <w:rsid w:val="00124955"/>
    <w:rsid w:val="00130E8E"/>
    <w:rsid w:val="0013216E"/>
    <w:rsid w:val="00133DED"/>
    <w:rsid w:val="00135A5A"/>
    <w:rsid w:val="001401B5"/>
    <w:rsid w:val="00141364"/>
    <w:rsid w:val="001422B9"/>
    <w:rsid w:val="0014665F"/>
    <w:rsid w:val="001476BA"/>
    <w:rsid w:val="00150588"/>
    <w:rsid w:val="001519E2"/>
    <w:rsid w:val="00153464"/>
    <w:rsid w:val="001541B3"/>
    <w:rsid w:val="00155B15"/>
    <w:rsid w:val="001625BE"/>
    <w:rsid w:val="001643A4"/>
    <w:rsid w:val="00170482"/>
    <w:rsid w:val="001722A6"/>
    <w:rsid w:val="001727BB"/>
    <w:rsid w:val="00173A42"/>
    <w:rsid w:val="00180D25"/>
    <w:rsid w:val="0018318D"/>
    <w:rsid w:val="0018572C"/>
    <w:rsid w:val="00187E79"/>
    <w:rsid w:val="00187F0D"/>
    <w:rsid w:val="00191B9C"/>
    <w:rsid w:val="00192CC5"/>
    <w:rsid w:val="0019391D"/>
    <w:rsid w:val="001956A7"/>
    <w:rsid w:val="00196B81"/>
    <w:rsid w:val="001A118A"/>
    <w:rsid w:val="001A27F4"/>
    <w:rsid w:val="001A2D95"/>
    <w:rsid w:val="001B0F17"/>
    <w:rsid w:val="001B3460"/>
    <w:rsid w:val="001B4CA1"/>
    <w:rsid w:val="001B5BD6"/>
    <w:rsid w:val="001B75D8"/>
    <w:rsid w:val="001C1060"/>
    <w:rsid w:val="001C3C63"/>
    <w:rsid w:val="001C70E3"/>
    <w:rsid w:val="001D4732"/>
    <w:rsid w:val="001D6A3C"/>
    <w:rsid w:val="001D6D51"/>
    <w:rsid w:val="001E1D0D"/>
    <w:rsid w:val="001E5F67"/>
    <w:rsid w:val="001F653A"/>
    <w:rsid w:val="001F6979"/>
    <w:rsid w:val="00202BC6"/>
    <w:rsid w:val="00205141"/>
    <w:rsid w:val="0020516B"/>
    <w:rsid w:val="002073E8"/>
    <w:rsid w:val="00211B6F"/>
    <w:rsid w:val="002123CB"/>
    <w:rsid w:val="00213559"/>
    <w:rsid w:val="00213EFD"/>
    <w:rsid w:val="002172F1"/>
    <w:rsid w:val="00223C7B"/>
    <w:rsid w:val="00224AB1"/>
    <w:rsid w:val="00226683"/>
    <w:rsid w:val="0022687A"/>
    <w:rsid w:val="00230728"/>
    <w:rsid w:val="002331F6"/>
    <w:rsid w:val="00234040"/>
    <w:rsid w:val="00235CD2"/>
    <w:rsid w:val="00254DED"/>
    <w:rsid w:val="00255619"/>
    <w:rsid w:val="00255DAD"/>
    <w:rsid w:val="00256108"/>
    <w:rsid w:val="0025613D"/>
    <w:rsid w:val="00260F33"/>
    <w:rsid w:val="002613BD"/>
    <w:rsid w:val="002624F1"/>
    <w:rsid w:val="00270C81"/>
    <w:rsid w:val="00271558"/>
    <w:rsid w:val="00274862"/>
    <w:rsid w:val="0028187D"/>
    <w:rsid w:val="00282D72"/>
    <w:rsid w:val="00283402"/>
    <w:rsid w:val="002873A0"/>
    <w:rsid w:val="00290FD6"/>
    <w:rsid w:val="00294259"/>
    <w:rsid w:val="00295A1B"/>
    <w:rsid w:val="002A2C81"/>
    <w:rsid w:val="002A697F"/>
    <w:rsid w:val="002B3D1A"/>
    <w:rsid w:val="002C27D0"/>
    <w:rsid w:val="002C2C9B"/>
    <w:rsid w:val="002C6177"/>
    <w:rsid w:val="002D17D6"/>
    <w:rsid w:val="002D18D7"/>
    <w:rsid w:val="002D21CE"/>
    <w:rsid w:val="002D7FA9"/>
    <w:rsid w:val="002E3DA3"/>
    <w:rsid w:val="002E450F"/>
    <w:rsid w:val="002E5A15"/>
    <w:rsid w:val="002E6B38"/>
    <w:rsid w:val="002E6D63"/>
    <w:rsid w:val="002E6E2B"/>
    <w:rsid w:val="002E7EB1"/>
    <w:rsid w:val="002F500B"/>
    <w:rsid w:val="00300991"/>
    <w:rsid w:val="00301959"/>
    <w:rsid w:val="003025CC"/>
    <w:rsid w:val="00304E20"/>
    <w:rsid w:val="00305B8A"/>
    <w:rsid w:val="00325814"/>
    <w:rsid w:val="00325C05"/>
    <w:rsid w:val="00331BF9"/>
    <w:rsid w:val="0033495E"/>
    <w:rsid w:val="00334A79"/>
    <w:rsid w:val="00334D8D"/>
    <w:rsid w:val="00337345"/>
    <w:rsid w:val="00337DD2"/>
    <w:rsid w:val="003404D1"/>
    <w:rsid w:val="003443FF"/>
    <w:rsid w:val="00355808"/>
    <w:rsid w:val="00357B4D"/>
    <w:rsid w:val="00362C7E"/>
    <w:rsid w:val="00363309"/>
    <w:rsid w:val="00363601"/>
    <w:rsid w:val="00376AC9"/>
    <w:rsid w:val="003849BA"/>
    <w:rsid w:val="00391898"/>
    <w:rsid w:val="00393032"/>
    <w:rsid w:val="00394B69"/>
    <w:rsid w:val="00397078"/>
    <w:rsid w:val="003A48F4"/>
    <w:rsid w:val="003A6953"/>
    <w:rsid w:val="003B6083"/>
    <w:rsid w:val="003C3838"/>
    <w:rsid w:val="003C5847"/>
    <w:rsid w:val="003D0681"/>
    <w:rsid w:val="003D12F6"/>
    <w:rsid w:val="003D1426"/>
    <w:rsid w:val="003D2ECF"/>
    <w:rsid w:val="003D6EAF"/>
    <w:rsid w:val="003D771D"/>
    <w:rsid w:val="003E2F4E"/>
    <w:rsid w:val="003E4DF8"/>
    <w:rsid w:val="003E720A"/>
    <w:rsid w:val="003F32FA"/>
    <w:rsid w:val="003F7BDC"/>
    <w:rsid w:val="00403CF1"/>
    <w:rsid w:val="00403E6E"/>
    <w:rsid w:val="00405EB3"/>
    <w:rsid w:val="00407144"/>
    <w:rsid w:val="004129B4"/>
    <w:rsid w:val="00417EF0"/>
    <w:rsid w:val="004208C8"/>
    <w:rsid w:val="00422181"/>
    <w:rsid w:val="004244A8"/>
    <w:rsid w:val="00425F72"/>
    <w:rsid w:val="00427736"/>
    <w:rsid w:val="00427FB3"/>
    <w:rsid w:val="004328C6"/>
    <w:rsid w:val="004416A9"/>
    <w:rsid w:val="00441787"/>
    <w:rsid w:val="00442343"/>
    <w:rsid w:val="00444F2D"/>
    <w:rsid w:val="00452034"/>
    <w:rsid w:val="00455501"/>
    <w:rsid w:val="00455FA6"/>
    <w:rsid w:val="00461419"/>
    <w:rsid w:val="00466C70"/>
    <w:rsid w:val="00466E60"/>
    <w:rsid w:val="004702C9"/>
    <w:rsid w:val="00472E45"/>
    <w:rsid w:val="00473FEA"/>
    <w:rsid w:val="0047579D"/>
    <w:rsid w:val="00481D25"/>
    <w:rsid w:val="00483262"/>
    <w:rsid w:val="00484107"/>
    <w:rsid w:val="00485CC5"/>
    <w:rsid w:val="0048771B"/>
    <w:rsid w:val="00491B32"/>
    <w:rsid w:val="0049343F"/>
    <w:rsid w:val="00495D03"/>
    <w:rsid w:val="004964FC"/>
    <w:rsid w:val="00496996"/>
    <w:rsid w:val="004970BC"/>
    <w:rsid w:val="004A145E"/>
    <w:rsid w:val="004A1F15"/>
    <w:rsid w:val="004A27B6"/>
    <w:rsid w:val="004A2A81"/>
    <w:rsid w:val="004A7BD7"/>
    <w:rsid w:val="004B7CAF"/>
    <w:rsid w:val="004B7CE2"/>
    <w:rsid w:val="004C15C2"/>
    <w:rsid w:val="004C36D8"/>
    <w:rsid w:val="004C62B4"/>
    <w:rsid w:val="004C6A0C"/>
    <w:rsid w:val="004D1248"/>
    <w:rsid w:val="004D1E3C"/>
    <w:rsid w:val="004D4169"/>
    <w:rsid w:val="004D6E14"/>
    <w:rsid w:val="004E2019"/>
    <w:rsid w:val="004F4E17"/>
    <w:rsid w:val="0050082F"/>
    <w:rsid w:val="00500C56"/>
    <w:rsid w:val="00501713"/>
    <w:rsid w:val="00506568"/>
    <w:rsid w:val="0051551B"/>
    <w:rsid w:val="00520C57"/>
    <w:rsid w:val="00521E4C"/>
    <w:rsid w:val="00522D94"/>
    <w:rsid w:val="00525F03"/>
    <w:rsid w:val="00533D89"/>
    <w:rsid w:val="00536564"/>
    <w:rsid w:val="00536E44"/>
    <w:rsid w:val="00540C0A"/>
    <w:rsid w:val="00544597"/>
    <w:rsid w:val="00544FFE"/>
    <w:rsid w:val="00546685"/>
    <w:rsid w:val="00546EA1"/>
    <w:rsid w:val="005473F5"/>
    <w:rsid w:val="005477E7"/>
    <w:rsid w:val="0054789D"/>
    <w:rsid w:val="00551FB4"/>
    <w:rsid w:val="00552794"/>
    <w:rsid w:val="00563199"/>
    <w:rsid w:val="00564874"/>
    <w:rsid w:val="00565BC1"/>
    <w:rsid w:val="00567963"/>
    <w:rsid w:val="0057009A"/>
    <w:rsid w:val="005711DD"/>
    <w:rsid w:val="00571260"/>
    <w:rsid w:val="0057189C"/>
    <w:rsid w:val="00573FC1"/>
    <w:rsid w:val="005741EE"/>
    <w:rsid w:val="0057668E"/>
    <w:rsid w:val="00595E83"/>
    <w:rsid w:val="00596530"/>
    <w:rsid w:val="005967F3"/>
    <w:rsid w:val="005A06DF"/>
    <w:rsid w:val="005A5527"/>
    <w:rsid w:val="005A5AE6"/>
    <w:rsid w:val="005A7359"/>
    <w:rsid w:val="005B1206"/>
    <w:rsid w:val="005B37E8"/>
    <w:rsid w:val="005C0056"/>
    <w:rsid w:val="005C11C1"/>
    <w:rsid w:val="005C3CD2"/>
    <w:rsid w:val="005C7751"/>
    <w:rsid w:val="005D1A7F"/>
    <w:rsid w:val="005D23AD"/>
    <w:rsid w:val="005D61D6"/>
    <w:rsid w:val="005E03AC"/>
    <w:rsid w:val="005E0D13"/>
    <w:rsid w:val="005E5047"/>
    <w:rsid w:val="005E58F9"/>
    <w:rsid w:val="005E7205"/>
    <w:rsid w:val="005E7371"/>
    <w:rsid w:val="005F116C"/>
    <w:rsid w:val="005F2131"/>
    <w:rsid w:val="00605EF6"/>
    <w:rsid w:val="00606455"/>
    <w:rsid w:val="00612823"/>
    <w:rsid w:val="00614929"/>
    <w:rsid w:val="00616511"/>
    <w:rsid w:val="006176ED"/>
    <w:rsid w:val="006202F3"/>
    <w:rsid w:val="0062097A"/>
    <w:rsid w:val="00621DA6"/>
    <w:rsid w:val="00621F37"/>
    <w:rsid w:val="00623CFE"/>
    <w:rsid w:val="00627221"/>
    <w:rsid w:val="006278F1"/>
    <w:rsid w:val="00627EE8"/>
    <w:rsid w:val="006316FA"/>
    <w:rsid w:val="006370D2"/>
    <w:rsid w:val="0064074F"/>
    <w:rsid w:val="00641F55"/>
    <w:rsid w:val="00642462"/>
    <w:rsid w:val="006424AB"/>
    <w:rsid w:val="006440B9"/>
    <w:rsid w:val="00645E4A"/>
    <w:rsid w:val="00652797"/>
    <w:rsid w:val="00653688"/>
    <w:rsid w:val="006555BE"/>
    <w:rsid w:val="0066091B"/>
    <w:rsid w:val="00663E72"/>
    <w:rsid w:val="006660E9"/>
    <w:rsid w:val="00667249"/>
    <w:rsid w:val="00667558"/>
    <w:rsid w:val="00671523"/>
    <w:rsid w:val="006754EF"/>
    <w:rsid w:val="00676C8D"/>
    <w:rsid w:val="00676F1F"/>
    <w:rsid w:val="00677381"/>
    <w:rsid w:val="00677414"/>
    <w:rsid w:val="006806A8"/>
    <w:rsid w:val="006832CF"/>
    <w:rsid w:val="0068601E"/>
    <w:rsid w:val="0069486B"/>
    <w:rsid w:val="006A4904"/>
    <w:rsid w:val="006A548F"/>
    <w:rsid w:val="006A66ED"/>
    <w:rsid w:val="006A701A"/>
    <w:rsid w:val="006B3A85"/>
    <w:rsid w:val="006B52A4"/>
    <w:rsid w:val="006B63DD"/>
    <w:rsid w:val="006B64DC"/>
    <w:rsid w:val="006B7A91"/>
    <w:rsid w:val="006D4704"/>
    <w:rsid w:val="006D6A2D"/>
    <w:rsid w:val="006E1E18"/>
    <w:rsid w:val="006E31CE"/>
    <w:rsid w:val="006E34D3"/>
    <w:rsid w:val="006F1435"/>
    <w:rsid w:val="006F78C4"/>
    <w:rsid w:val="007024B3"/>
    <w:rsid w:val="007031A0"/>
    <w:rsid w:val="00705A29"/>
    <w:rsid w:val="00707498"/>
    <w:rsid w:val="00711820"/>
    <w:rsid w:val="00711A65"/>
    <w:rsid w:val="00714133"/>
    <w:rsid w:val="00714DA4"/>
    <w:rsid w:val="007158B2"/>
    <w:rsid w:val="00716081"/>
    <w:rsid w:val="00722B48"/>
    <w:rsid w:val="00723811"/>
    <w:rsid w:val="00724164"/>
    <w:rsid w:val="00725DE7"/>
    <w:rsid w:val="00725FE3"/>
    <w:rsid w:val="0072636A"/>
    <w:rsid w:val="00726B44"/>
    <w:rsid w:val="007318DD"/>
    <w:rsid w:val="00733167"/>
    <w:rsid w:val="00740D2C"/>
    <w:rsid w:val="00744BF9"/>
    <w:rsid w:val="00752623"/>
    <w:rsid w:val="00760F1F"/>
    <w:rsid w:val="0076423E"/>
    <w:rsid w:val="007646CB"/>
    <w:rsid w:val="0076658F"/>
    <w:rsid w:val="0077040A"/>
    <w:rsid w:val="00772D64"/>
    <w:rsid w:val="0078673E"/>
    <w:rsid w:val="00792609"/>
    <w:rsid w:val="00792887"/>
    <w:rsid w:val="007943E2"/>
    <w:rsid w:val="0079446A"/>
    <w:rsid w:val="00794F2C"/>
    <w:rsid w:val="0079645E"/>
    <w:rsid w:val="007A3BC7"/>
    <w:rsid w:val="007A407A"/>
    <w:rsid w:val="007A5AC4"/>
    <w:rsid w:val="007A6A78"/>
    <w:rsid w:val="007A7617"/>
    <w:rsid w:val="007B0FDD"/>
    <w:rsid w:val="007B4802"/>
    <w:rsid w:val="007B6668"/>
    <w:rsid w:val="007B6B33"/>
    <w:rsid w:val="007C18AF"/>
    <w:rsid w:val="007C2701"/>
    <w:rsid w:val="007C2910"/>
    <w:rsid w:val="007C74B8"/>
    <w:rsid w:val="007C76BC"/>
    <w:rsid w:val="007D2192"/>
    <w:rsid w:val="007E0B30"/>
    <w:rsid w:val="007F0021"/>
    <w:rsid w:val="007F2F52"/>
    <w:rsid w:val="00801F71"/>
    <w:rsid w:val="00805F28"/>
    <w:rsid w:val="0080749F"/>
    <w:rsid w:val="00811D46"/>
    <w:rsid w:val="008125B0"/>
    <w:rsid w:val="008144CB"/>
    <w:rsid w:val="00815BC6"/>
    <w:rsid w:val="00821717"/>
    <w:rsid w:val="00822C85"/>
    <w:rsid w:val="00824210"/>
    <w:rsid w:val="00824669"/>
    <w:rsid w:val="008263C0"/>
    <w:rsid w:val="0083304F"/>
    <w:rsid w:val="00835DA3"/>
    <w:rsid w:val="00841422"/>
    <w:rsid w:val="00841D3B"/>
    <w:rsid w:val="00842117"/>
    <w:rsid w:val="0084314C"/>
    <w:rsid w:val="00843171"/>
    <w:rsid w:val="0085047F"/>
    <w:rsid w:val="008575C3"/>
    <w:rsid w:val="00863D28"/>
    <w:rsid w:val="008648C3"/>
    <w:rsid w:val="00867B95"/>
    <w:rsid w:val="008729C4"/>
    <w:rsid w:val="008741B5"/>
    <w:rsid w:val="00880F26"/>
    <w:rsid w:val="00884900"/>
    <w:rsid w:val="00896C2E"/>
    <w:rsid w:val="008A5095"/>
    <w:rsid w:val="008A608F"/>
    <w:rsid w:val="008B1A9A"/>
    <w:rsid w:val="008B1F45"/>
    <w:rsid w:val="008B324D"/>
    <w:rsid w:val="008B4FE6"/>
    <w:rsid w:val="008B6C37"/>
    <w:rsid w:val="008D0C22"/>
    <w:rsid w:val="008E18F7"/>
    <w:rsid w:val="008E1E10"/>
    <w:rsid w:val="008E291B"/>
    <w:rsid w:val="008E4F2F"/>
    <w:rsid w:val="008E74B0"/>
    <w:rsid w:val="008F1739"/>
    <w:rsid w:val="008F4268"/>
    <w:rsid w:val="009008A8"/>
    <w:rsid w:val="009063B0"/>
    <w:rsid w:val="00907106"/>
    <w:rsid w:val="009107FD"/>
    <w:rsid w:val="0091137C"/>
    <w:rsid w:val="00911567"/>
    <w:rsid w:val="0091560E"/>
    <w:rsid w:val="00917AAE"/>
    <w:rsid w:val="009251A9"/>
    <w:rsid w:val="0092538D"/>
    <w:rsid w:val="0092769E"/>
    <w:rsid w:val="00930699"/>
    <w:rsid w:val="00931F21"/>
    <w:rsid w:val="00931F69"/>
    <w:rsid w:val="00934123"/>
    <w:rsid w:val="00934308"/>
    <w:rsid w:val="009365B5"/>
    <w:rsid w:val="00941B9A"/>
    <w:rsid w:val="00955774"/>
    <w:rsid w:val="009560B5"/>
    <w:rsid w:val="00956911"/>
    <w:rsid w:val="0096020B"/>
    <w:rsid w:val="00961B43"/>
    <w:rsid w:val="009629CE"/>
    <w:rsid w:val="009703D6"/>
    <w:rsid w:val="00970BEF"/>
    <w:rsid w:val="0097181B"/>
    <w:rsid w:val="00976DC5"/>
    <w:rsid w:val="009818C7"/>
    <w:rsid w:val="0098230D"/>
    <w:rsid w:val="00982DD4"/>
    <w:rsid w:val="009841E5"/>
    <w:rsid w:val="0098479F"/>
    <w:rsid w:val="00984A8A"/>
    <w:rsid w:val="009857B6"/>
    <w:rsid w:val="00985A8D"/>
    <w:rsid w:val="00986610"/>
    <w:rsid w:val="009877DC"/>
    <w:rsid w:val="00987C22"/>
    <w:rsid w:val="009913E5"/>
    <w:rsid w:val="00991F96"/>
    <w:rsid w:val="00993B0F"/>
    <w:rsid w:val="00996F0A"/>
    <w:rsid w:val="009A1D86"/>
    <w:rsid w:val="009B049C"/>
    <w:rsid w:val="009B11C8"/>
    <w:rsid w:val="009B2BCF"/>
    <w:rsid w:val="009B2FF8"/>
    <w:rsid w:val="009B53F1"/>
    <w:rsid w:val="009B5BA3"/>
    <w:rsid w:val="009D0027"/>
    <w:rsid w:val="009D0655"/>
    <w:rsid w:val="009D4F04"/>
    <w:rsid w:val="009D54B3"/>
    <w:rsid w:val="009D57B9"/>
    <w:rsid w:val="009D63FA"/>
    <w:rsid w:val="009E1E98"/>
    <w:rsid w:val="009E3ABE"/>
    <w:rsid w:val="009E3C4B"/>
    <w:rsid w:val="009F0637"/>
    <w:rsid w:val="009F62A6"/>
    <w:rsid w:val="009F674F"/>
    <w:rsid w:val="009F799E"/>
    <w:rsid w:val="00A02020"/>
    <w:rsid w:val="00A056CB"/>
    <w:rsid w:val="00A07A29"/>
    <w:rsid w:val="00A10FF1"/>
    <w:rsid w:val="00A13FE9"/>
    <w:rsid w:val="00A1506B"/>
    <w:rsid w:val="00A17CB2"/>
    <w:rsid w:val="00A23191"/>
    <w:rsid w:val="00A319C0"/>
    <w:rsid w:val="00A33560"/>
    <w:rsid w:val="00A364E4"/>
    <w:rsid w:val="00A368C3"/>
    <w:rsid w:val="00A371A5"/>
    <w:rsid w:val="00A41F33"/>
    <w:rsid w:val="00A43B6D"/>
    <w:rsid w:val="00A43CF6"/>
    <w:rsid w:val="00A47BDF"/>
    <w:rsid w:val="00A51CD7"/>
    <w:rsid w:val="00A52ADB"/>
    <w:rsid w:val="00A533E8"/>
    <w:rsid w:val="00A542D9"/>
    <w:rsid w:val="00A552EB"/>
    <w:rsid w:val="00A56E64"/>
    <w:rsid w:val="00A624C3"/>
    <w:rsid w:val="00A644CD"/>
    <w:rsid w:val="00A6641C"/>
    <w:rsid w:val="00A71902"/>
    <w:rsid w:val="00A767D2"/>
    <w:rsid w:val="00A77616"/>
    <w:rsid w:val="00A805DA"/>
    <w:rsid w:val="00A811B4"/>
    <w:rsid w:val="00A87B3A"/>
    <w:rsid w:val="00A87CDE"/>
    <w:rsid w:val="00A92BAF"/>
    <w:rsid w:val="00A938F3"/>
    <w:rsid w:val="00A94737"/>
    <w:rsid w:val="00A94BA3"/>
    <w:rsid w:val="00A96CBA"/>
    <w:rsid w:val="00AA232E"/>
    <w:rsid w:val="00AA51D3"/>
    <w:rsid w:val="00AB1ACD"/>
    <w:rsid w:val="00AB277F"/>
    <w:rsid w:val="00AB4099"/>
    <w:rsid w:val="00AB449A"/>
    <w:rsid w:val="00AD07C1"/>
    <w:rsid w:val="00AD14F9"/>
    <w:rsid w:val="00AD35D6"/>
    <w:rsid w:val="00AD58C5"/>
    <w:rsid w:val="00AE36C4"/>
    <w:rsid w:val="00AE472C"/>
    <w:rsid w:val="00AE5375"/>
    <w:rsid w:val="00AE6CF8"/>
    <w:rsid w:val="00AF472B"/>
    <w:rsid w:val="00AF4CAC"/>
    <w:rsid w:val="00B01C55"/>
    <w:rsid w:val="00B03E0D"/>
    <w:rsid w:val="00B054F8"/>
    <w:rsid w:val="00B07350"/>
    <w:rsid w:val="00B2219A"/>
    <w:rsid w:val="00B3581B"/>
    <w:rsid w:val="00B36B81"/>
    <w:rsid w:val="00B36FEE"/>
    <w:rsid w:val="00B37C80"/>
    <w:rsid w:val="00B5092B"/>
    <w:rsid w:val="00B5194E"/>
    <w:rsid w:val="00B51AF5"/>
    <w:rsid w:val="00B531FC"/>
    <w:rsid w:val="00B55347"/>
    <w:rsid w:val="00B57594"/>
    <w:rsid w:val="00B57E5E"/>
    <w:rsid w:val="00B61F37"/>
    <w:rsid w:val="00B637CC"/>
    <w:rsid w:val="00B65CB8"/>
    <w:rsid w:val="00B7770F"/>
    <w:rsid w:val="00B77A89"/>
    <w:rsid w:val="00B77B27"/>
    <w:rsid w:val="00B80EBA"/>
    <w:rsid w:val="00B8134E"/>
    <w:rsid w:val="00B81B55"/>
    <w:rsid w:val="00B84613"/>
    <w:rsid w:val="00B87A43"/>
    <w:rsid w:val="00B87AF0"/>
    <w:rsid w:val="00B9037B"/>
    <w:rsid w:val="00B910BD"/>
    <w:rsid w:val="00B93834"/>
    <w:rsid w:val="00B96469"/>
    <w:rsid w:val="00BA02D0"/>
    <w:rsid w:val="00BA0DA2"/>
    <w:rsid w:val="00BA2981"/>
    <w:rsid w:val="00BA42EE"/>
    <w:rsid w:val="00BA48F9"/>
    <w:rsid w:val="00BB0DCA"/>
    <w:rsid w:val="00BB2666"/>
    <w:rsid w:val="00BB6B80"/>
    <w:rsid w:val="00BB7F26"/>
    <w:rsid w:val="00BC284E"/>
    <w:rsid w:val="00BC3773"/>
    <w:rsid w:val="00BC381A"/>
    <w:rsid w:val="00BD0962"/>
    <w:rsid w:val="00BD0EC9"/>
    <w:rsid w:val="00BD1EED"/>
    <w:rsid w:val="00BE45F1"/>
    <w:rsid w:val="00BE5363"/>
    <w:rsid w:val="00BF0DA2"/>
    <w:rsid w:val="00BF109C"/>
    <w:rsid w:val="00BF34FA"/>
    <w:rsid w:val="00C004B6"/>
    <w:rsid w:val="00C0250D"/>
    <w:rsid w:val="00C047A7"/>
    <w:rsid w:val="00C05DE5"/>
    <w:rsid w:val="00C10833"/>
    <w:rsid w:val="00C126C0"/>
    <w:rsid w:val="00C16956"/>
    <w:rsid w:val="00C21B89"/>
    <w:rsid w:val="00C33027"/>
    <w:rsid w:val="00C37667"/>
    <w:rsid w:val="00C41808"/>
    <w:rsid w:val="00C435DB"/>
    <w:rsid w:val="00C44D73"/>
    <w:rsid w:val="00C50B42"/>
    <w:rsid w:val="00C516FF"/>
    <w:rsid w:val="00C52BFA"/>
    <w:rsid w:val="00C53D1D"/>
    <w:rsid w:val="00C53F26"/>
    <w:rsid w:val="00C540BC"/>
    <w:rsid w:val="00C55D00"/>
    <w:rsid w:val="00C64F7D"/>
    <w:rsid w:val="00C667C9"/>
    <w:rsid w:val="00C67309"/>
    <w:rsid w:val="00C720EB"/>
    <w:rsid w:val="00C7614E"/>
    <w:rsid w:val="00C77BF1"/>
    <w:rsid w:val="00C80D60"/>
    <w:rsid w:val="00C82FBD"/>
    <w:rsid w:val="00C85267"/>
    <w:rsid w:val="00C8721B"/>
    <w:rsid w:val="00C9372C"/>
    <w:rsid w:val="00C9470E"/>
    <w:rsid w:val="00C9473D"/>
    <w:rsid w:val="00C95CEB"/>
    <w:rsid w:val="00CA1054"/>
    <w:rsid w:val="00CA4570"/>
    <w:rsid w:val="00CA4A4D"/>
    <w:rsid w:val="00CA5C89"/>
    <w:rsid w:val="00CA63EB"/>
    <w:rsid w:val="00CA69F1"/>
    <w:rsid w:val="00CA7701"/>
    <w:rsid w:val="00CB6991"/>
    <w:rsid w:val="00CB6F96"/>
    <w:rsid w:val="00CC2F3F"/>
    <w:rsid w:val="00CC6194"/>
    <w:rsid w:val="00CC6305"/>
    <w:rsid w:val="00CC78A5"/>
    <w:rsid w:val="00CD0516"/>
    <w:rsid w:val="00CD756B"/>
    <w:rsid w:val="00CE734F"/>
    <w:rsid w:val="00CF112E"/>
    <w:rsid w:val="00CF413E"/>
    <w:rsid w:val="00CF45C8"/>
    <w:rsid w:val="00CF5F4F"/>
    <w:rsid w:val="00D218DC"/>
    <w:rsid w:val="00D24E56"/>
    <w:rsid w:val="00D31643"/>
    <w:rsid w:val="00D31AEB"/>
    <w:rsid w:val="00D32ECD"/>
    <w:rsid w:val="00D35E66"/>
    <w:rsid w:val="00D361E4"/>
    <w:rsid w:val="00D42A8F"/>
    <w:rsid w:val="00D439F6"/>
    <w:rsid w:val="00D45271"/>
    <w:rsid w:val="00D459C6"/>
    <w:rsid w:val="00D50729"/>
    <w:rsid w:val="00D50C19"/>
    <w:rsid w:val="00D50FC1"/>
    <w:rsid w:val="00D5379E"/>
    <w:rsid w:val="00D62643"/>
    <w:rsid w:val="00D64C0F"/>
    <w:rsid w:val="00D722F6"/>
    <w:rsid w:val="00D72EFE"/>
    <w:rsid w:val="00D76227"/>
    <w:rsid w:val="00D77DF1"/>
    <w:rsid w:val="00D80E7B"/>
    <w:rsid w:val="00D84736"/>
    <w:rsid w:val="00D86AFF"/>
    <w:rsid w:val="00D95A44"/>
    <w:rsid w:val="00D95D16"/>
    <w:rsid w:val="00D97C76"/>
    <w:rsid w:val="00DA6A15"/>
    <w:rsid w:val="00DA6A7F"/>
    <w:rsid w:val="00DB02B4"/>
    <w:rsid w:val="00DB538D"/>
    <w:rsid w:val="00DC275C"/>
    <w:rsid w:val="00DC330E"/>
    <w:rsid w:val="00DC4B0D"/>
    <w:rsid w:val="00DC7FE1"/>
    <w:rsid w:val="00DD3F3F"/>
    <w:rsid w:val="00DD5572"/>
    <w:rsid w:val="00DE5D80"/>
    <w:rsid w:val="00DF58CD"/>
    <w:rsid w:val="00DF65DE"/>
    <w:rsid w:val="00E019A5"/>
    <w:rsid w:val="00E02EC8"/>
    <w:rsid w:val="00E037F5"/>
    <w:rsid w:val="00E04ECB"/>
    <w:rsid w:val="00E05A09"/>
    <w:rsid w:val="00E06CA1"/>
    <w:rsid w:val="00E172B8"/>
    <w:rsid w:val="00E17FB4"/>
    <w:rsid w:val="00E20B75"/>
    <w:rsid w:val="00E214F2"/>
    <w:rsid w:val="00E2371E"/>
    <w:rsid w:val="00E24BD7"/>
    <w:rsid w:val="00E26523"/>
    <w:rsid w:val="00E26809"/>
    <w:rsid w:val="00E3412D"/>
    <w:rsid w:val="00E35A3F"/>
    <w:rsid w:val="00E37030"/>
    <w:rsid w:val="00E44510"/>
    <w:rsid w:val="00E57322"/>
    <w:rsid w:val="00E628CB"/>
    <w:rsid w:val="00E62AD9"/>
    <w:rsid w:val="00E638C8"/>
    <w:rsid w:val="00E70FE3"/>
    <w:rsid w:val="00E74A9F"/>
    <w:rsid w:val="00E74B70"/>
    <w:rsid w:val="00E7509B"/>
    <w:rsid w:val="00E76D60"/>
    <w:rsid w:val="00E834C7"/>
    <w:rsid w:val="00E84682"/>
    <w:rsid w:val="00E86590"/>
    <w:rsid w:val="00E907FF"/>
    <w:rsid w:val="00E9355C"/>
    <w:rsid w:val="00EA42D1"/>
    <w:rsid w:val="00EA42EF"/>
    <w:rsid w:val="00EA6629"/>
    <w:rsid w:val="00EB2DD1"/>
    <w:rsid w:val="00EB451B"/>
    <w:rsid w:val="00EB6B37"/>
    <w:rsid w:val="00EC29FE"/>
    <w:rsid w:val="00EC3C70"/>
    <w:rsid w:val="00ED3A3D"/>
    <w:rsid w:val="00ED538A"/>
    <w:rsid w:val="00ED6FBC"/>
    <w:rsid w:val="00EE2F16"/>
    <w:rsid w:val="00EE3861"/>
    <w:rsid w:val="00EE401C"/>
    <w:rsid w:val="00EF2E73"/>
    <w:rsid w:val="00EF7683"/>
    <w:rsid w:val="00EF7A2D"/>
    <w:rsid w:val="00F01E7C"/>
    <w:rsid w:val="00F04F8D"/>
    <w:rsid w:val="00F051F5"/>
    <w:rsid w:val="00F10AD0"/>
    <w:rsid w:val="00F116CC"/>
    <w:rsid w:val="00F11A09"/>
    <w:rsid w:val="00F12BD1"/>
    <w:rsid w:val="00F15327"/>
    <w:rsid w:val="00F168CF"/>
    <w:rsid w:val="00F2555C"/>
    <w:rsid w:val="00F3113B"/>
    <w:rsid w:val="00F31DF3"/>
    <w:rsid w:val="00F3393D"/>
    <w:rsid w:val="00F33AE5"/>
    <w:rsid w:val="00F3597D"/>
    <w:rsid w:val="00F4376D"/>
    <w:rsid w:val="00F45399"/>
    <w:rsid w:val="00F465EA"/>
    <w:rsid w:val="00F5215C"/>
    <w:rsid w:val="00F535DD"/>
    <w:rsid w:val="00F53868"/>
    <w:rsid w:val="00F54E7B"/>
    <w:rsid w:val="00F55A88"/>
    <w:rsid w:val="00F74005"/>
    <w:rsid w:val="00F75127"/>
    <w:rsid w:val="00F75927"/>
    <w:rsid w:val="00F76884"/>
    <w:rsid w:val="00F83285"/>
    <w:rsid w:val="00F83D24"/>
    <w:rsid w:val="00F83DD9"/>
    <w:rsid w:val="00F83F40"/>
    <w:rsid w:val="00F908A1"/>
    <w:rsid w:val="00F94409"/>
    <w:rsid w:val="00FA117A"/>
    <w:rsid w:val="00FB386A"/>
    <w:rsid w:val="00FC0786"/>
    <w:rsid w:val="00FC49EF"/>
    <w:rsid w:val="00FE2909"/>
    <w:rsid w:val="00FE36E2"/>
    <w:rsid w:val="00FE79DF"/>
    <w:rsid w:val="00FF11AD"/>
    <w:rsid w:val="00FF2971"/>
    <w:rsid w:val="00FF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3D6E4F"/>
  <w15:chartTrackingRefBased/>
  <w15:docId w15:val="{903BA435-646B-4988-A1C5-FA8CAD4F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FB3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locked/>
    <w:rsid w:val="006176E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3">
    <w:name w:val="heading 3"/>
    <w:basedOn w:val="Normalny"/>
    <w:next w:val="Normalny"/>
    <w:qFormat/>
    <w:locked/>
    <w:rsid w:val="00522D9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64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4702C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702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rsid w:val="00044739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4473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rsid w:val="00044739"/>
    <w:rPr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58C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F58CD"/>
    <w:rPr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unhideWhenUsed/>
    <w:rsid w:val="00DF58CD"/>
    <w:rPr>
      <w:vertAlign w:val="superscript"/>
    </w:rPr>
  </w:style>
  <w:style w:type="paragraph" w:styleId="Akapitzlist">
    <w:name w:val="List Paragraph"/>
    <w:basedOn w:val="Normalny"/>
    <w:uiPriority w:val="34"/>
    <w:qFormat/>
    <w:rsid w:val="00397078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A17C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17CB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A17CB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7CB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17CB2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047A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047A7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C047A7"/>
    <w:rPr>
      <w:vertAlign w:val="superscript"/>
    </w:rPr>
  </w:style>
  <w:style w:type="character" w:styleId="Hipercze">
    <w:name w:val="Hyperlink"/>
    <w:uiPriority w:val="99"/>
    <w:unhideWhenUsed/>
    <w:rsid w:val="0072636A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01F71"/>
    <w:rPr>
      <w:color w:val="800080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2D7FA9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character" w:customStyle="1" w:styleId="articletitle">
    <w:name w:val="articletitle"/>
    <w:basedOn w:val="Domylnaczcionkaakapitu"/>
    <w:rsid w:val="00325814"/>
  </w:style>
  <w:style w:type="character" w:customStyle="1" w:styleId="footnote">
    <w:name w:val="footnote"/>
    <w:basedOn w:val="Domylnaczcionkaakapitu"/>
    <w:rsid w:val="00325814"/>
  </w:style>
  <w:style w:type="paragraph" w:customStyle="1" w:styleId="Default">
    <w:name w:val="Default"/>
    <w:rsid w:val="004328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4328C6"/>
  </w:style>
  <w:style w:type="character" w:styleId="Nierozpoznanawzmianka">
    <w:name w:val="Unresolved Mention"/>
    <w:basedOn w:val="Domylnaczcionkaakapitu"/>
    <w:uiPriority w:val="99"/>
    <w:semiHidden/>
    <w:unhideWhenUsed/>
    <w:rsid w:val="00D80E7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D771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8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307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72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326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3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2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6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8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97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6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86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8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34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25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825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5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6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5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6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9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1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4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2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90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378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5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9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18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0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3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1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99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042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090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5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5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0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112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0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5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64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5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0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61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36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0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9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1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35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0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91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8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0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6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1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n.szyndler@klima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re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ezdpuw\ezdpuw\ezdpuw\20200707100432313\www.tg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63041-499C-481F-B1C0-5833EDAF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2664</Words>
  <Characters>17389</Characters>
  <Application>Microsoft Office Word</Application>
  <DocSecurity>4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20013</CharactersWithSpaces>
  <SharedDoc>false</SharedDoc>
  <HLinks>
    <vt:vector size="12" baseType="variant">
      <vt:variant>
        <vt:i4>1638433</vt:i4>
      </vt:variant>
      <vt:variant>
        <vt:i4>103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;jsessionid=1065FD5D001213ECD71FD650347F1674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1%20-%20p_p_id_101_INSTANCE_S0gu_</vt:lpwstr>
      </vt:variant>
      <vt:variant>
        <vt:lpwstr/>
      </vt:variant>
      <vt:variant>
        <vt:i4>8323197</vt:i4>
      </vt:variant>
      <vt:variant>
        <vt:i4>100</vt:i4>
      </vt:variant>
      <vt:variant>
        <vt:i4>0</vt:i4>
      </vt:variant>
      <vt:variant>
        <vt:i4>5</vt:i4>
      </vt:variant>
      <vt:variant>
        <vt:lpwstr>http://www.mf.gov.pl/ministerstwo-finansow/dzialalnosc/finanse-publiczne/sytuacja-makroekonomiczna-i-finanse-publiczne/wytyczne/-/asset_publisher/S0gu/content/wytyczne-dotyczace-stosowania-jednolitych-wskaznikow-makroekonomicznych-bedacych-podstawa-oszacowania-skutkow-finansowych-projektowanych-ustaw?redirect=http%3A%2F%2Fwww.mf.gov.pl%2Fministerstwo-finansow%2Fdzialalnosc%2Ffinanse-publiczne%2Fsytuacja-makroekonomiczna-i-finanse-publiczne%2Fwytyczne%3Fp_p_id%3D101_INSTANCE_S0gu%26p_p_lifecycle%3D0%26p_p_state%3Dnormal%26p_p_mode%3Dview%26p_p_col_id%3Dcolumn-2%26p_p_col_count%3D1</vt:lpwstr>
      </vt:variant>
      <vt:variant>
        <vt:lpwstr>p_p_id_101_INSTANCE_S0gu_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Szyndler Marcin</dc:creator>
  <cp:keywords/>
  <cp:lastModifiedBy>Ewelina Michałek</cp:lastModifiedBy>
  <cp:revision>2</cp:revision>
  <dcterms:created xsi:type="dcterms:W3CDTF">2023-06-28T06:44:00Z</dcterms:created>
  <dcterms:modified xsi:type="dcterms:W3CDTF">2023-06-28T06:44:00Z</dcterms:modified>
</cp:coreProperties>
</file>