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58F1" w14:textId="263BF81E" w:rsidR="00B34427" w:rsidRPr="00B34427" w:rsidRDefault="00B34427" w:rsidP="00B34427">
      <w:pPr>
        <w:spacing w:after="200"/>
        <w:jc w:val="right"/>
      </w:pPr>
      <w:r w:rsidRPr="00B34427">
        <w:t>6.06.2023</w:t>
      </w:r>
    </w:p>
    <w:p w14:paraId="366362D2" w14:textId="28F636C1" w:rsidR="00A67B02" w:rsidRPr="00B34427" w:rsidRDefault="00A67B02" w:rsidP="00B34427">
      <w:pPr>
        <w:spacing w:after="200"/>
        <w:jc w:val="center"/>
        <w:rPr>
          <w:b/>
          <w:bCs/>
        </w:rPr>
      </w:pPr>
      <w:r w:rsidRPr="00B34427">
        <w:rPr>
          <w:b/>
          <w:bCs/>
        </w:rPr>
        <w:t>UZASADNIENIE</w:t>
      </w:r>
    </w:p>
    <w:p w14:paraId="1DD2D773" w14:textId="5942A3BB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Projekt rozporządzenia stanowi realizację upoważnienia ustawowego zawartego w art. 60 ustawy z dnia 20 lutego 2015 r. o odnawialnych źródłach energii (</w:t>
      </w:r>
      <w:r w:rsidR="00792F34" w:rsidRPr="00B34427">
        <w:rPr>
          <w:rFonts w:ascii="Times New Roman" w:hAnsi="Times New Roman" w:cs="Times New Roman"/>
        </w:rPr>
        <w:t>Dz. U. z 2022 r. poz. 1378, 1383, 2370 i 2687</w:t>
      </w:r>
      <w:r w:rsidRPr="00B34427">
        <w:rPr>
          <w:rFonts w:ascii="Times New Roman" w:hAnsi="Times New Roman" w:cs="Times New Roman"/>
        </w:rPr>
        <w:t>), zwanej dalej „ustawą”, zgodnie z którym minister właściwy do spraw klimatu może zmienić wielkość udziału, o którym mowa w art. 59 pkt 1 lub 2 ustawy, na kolejny rok lub lata kalendarzowe.</w:t>
      </w:r>
    </w:p>
    <w:p w14:paraId="3CA0235B" w14:textId="306B73DE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 xml:space="preserve">Zgodnie z delegacją ustawową, przy określeniu ww. udziału wzięto pod uwagę rodzaj podmiotu zobowiązanego, ilość wytworzonej energii elektrycznej w </w:t>
      </w:r>
      <w:proofErr w:type="spellStart"/>
      <w:r w:rsidRPr="00B34427">
        <w:rPr>
          <w:rFonts w:ascii="Times New Roman" w:hAnsi="Times New Roman" w:cs="Times New Roman"/>
        </w:rPr>
        <w:t>mikroinstalacjach</w:t>
      </w:r>
      <w:proofErr w:type="spellEnd"/>
      <w:r w:rsidRPr="00B34427">
        <w:rPr>
          <w:rFonts w:ascii="Times New Roman" w:hAnsi="Times New Roman" w:cs="Times New Roman"/>
        </w:rPr>
        <w:br/>
        <w:t>i w małych instalacjach, zobowiązania wynikające z umów międzynarodowych, dotychczasową wielkość udziału energii elektrycznej i paliw pozyskiwanych z odnawialnych źródeł energii w ogólnej ilości energii i paliw zużywanych w energetyce oraz w transporcie, ilość wytworzonego biogazu rolniczego, a także wysokość cen energii elektrycznej na rynku konkurencyjnym.</w:t>
      </w:r>
    </w:p>
    <w:p w14:paraId="667925F5" w14:textId="37951A35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 xml:space="preserve">W rozporządzeniu proponuje się </w:t>
      </w:r>
      <w:r w:rsidR="006D42C7" w:rsidRPr="00B34427">
        <w:rPr>
          <w:rFonts w:ascii="Times New Roman" w:hAnsi="Times New Roman" w:cs="Times New Roman"/>
        </w:rPr>
        <w:t xml:space="preserve">systematyczne </w:t>
      </w:r>
      <w:r w:rsidR="009E0F59" w:rsidRPr="00B34427">
        <w:rPr>
          <w:rFonts w:ascii="Times New Roman" w:hAnsi="Times New Roman" w:cs="Times New Roman"/>
        </w:rPr>
        <w:t>obniżenie wielkości udziału</w:t>
      </w:r>
      <w:r w:rsidR="006D42C7" w:rsidRPr="00B34427">
        <w:rPr>
          <w:rFonts w:ascii="Times New Roman" w:hAnsi="Times New Roman" w:cs="Times New Roman"/>
        </w:rPr>
        <w:t>,</w:t>
      </w:r>
      <w:r w:rsidR="009E0F59" w:rsidRPr="00B34427">
        <w:rPr>
          <w:rFonts w:ascii="Times New Roman" w:hAnsi="Times New Roman" w:cs="Times New Roman"/>
        </w:rPr>
        <w:t xml:space="preserve"> </w:t>
      </w:r>
      <w:r w:rsidR="006D42C7" w:rsidRPr="00B34427">
        <w:rPr>
          <w:rFonts w:ascii="Times New Roman" w:hAnsi="Times New Roman" w:cs="Times New Roman"/>
        </w:rPr>
        <w:t>o którym mowa w art. 59 pkt 1</w:t>
      </w:r>
      <w:r w:rsidR="00696CF7" w:rsidRPr="00B34427">
        <w:rPr>
          <w:rFonts w:ascii="Times New Roman" w:hAnsi="Times New Roman" w:cs="Times New Roman"/>
        </w:rPr>
        <w:t xml:space="preserve"> ustawy</w:t>
      </w:r>
      <w:r w:rsidR="006D42C7" w:rsidRPr="00B34427">
        <w:rPr>
          <w:rFonts w:ascii="Times New Roman" w:hAnsi="Times New Roman" w:cs="Times New Roman"/>
        </w:rPr>
        <w:t xml:space="preserve">, czyli dla </w:t>
      </w:r>
      <w:r w:rsidRPr="00B34427">
        <w:rPr>
          <w:rFonts w:ascii="Times New Roman" w:hAnsi="Times New Roman" w:cs="Times New Roman"/>
        </w:rPr>
        <w:t>tzw. „zielonych certyfikatów”</w:t>
      </w:r>
      <w:r w:rsidR="00D00338" w:rsidRPr="00B34427">
        <w:rPr>
          <w:rFonts w:ascii="Times New Roman" w:hAnsi="Times New Roman" w:cs="Times New Roman"/>
        </w:rPr>
        <w:t>,</w:t>
      </w:r>
      <w:r w:rsidRPr="00B34427">
        <w:rPr>
          <w:rFonts w:ascii="Times New Roman" w:hAnsi="Times New Roman" w:cs="Times New Roman"/>
        </w:rPr>
        <w:t xml:space="preserve"> </w:t>
      </w:r>
      <w:r w:rsidR="006D42C7" w:rsidRPr="00B34427">
        <w:rPr>
          <w:rFonts w:ascii="Times New Roman" w:hAnsi="Times New Roman" w:cs="Times New Roman"/>
        </w:rPr>
        <w:t>odpowiednio do poziomu 1</w:t>
      </w:r>
      <w:r w:rsidR="00E364D8" w:rsidRPr="00B34427">
        <w:rPr>
          <w:rFonts w:ascii="Times New Roman" w:hAnsi="Times New Roman" w:cs="Times New Roman"/>
        </w:rPr>
        <w:t>1</w:t>
      </w:r>
      <w:r w:rsidR="006D42C7" w:rsidRPr="00B34427">
        <w:rPr>
          <w:rFonts w:ascii="Times New Roman" w:hAnsi="Times New Roman" w:cs="Times New Roman"/>
        </w:rPr>
        <w:t>% w 2024</w:t>
      </w:r>
      <w:r w:rsidR="00C448F4" w:rsidRPr="00B34427">
        <w:rPr>
          <w:rFonts w:ascii="Times New Roman" w:hAnsi="Times New Roman" w:cs="Times New Roman"/>
        </w:rPr>
        <w:t xml:space="preserve"> r.</w:t>
      </w:r>
      <w:r w:rsidR="006D42C7" w:rsidRPr="00B34427">
        <w:rPr>
          <w:rFonts w:ascii="Times New Roman" w:hAnsi="Times New Roman" w:cs="Times New Roman"/>
        </w:rPr>
        <w:t xml:space="preserve">, </w:t>
      </w:r>
      <w:r w:rsidR="00E364D8" w:rsidRPr="00B34427">
        <w:rPr>
          <w:rFonts w:ascii="Times New Roman" w:hAnsi="Times New Roman" w:cs="Times New Roman"/>
        </w:rPr>
        <w:t>10</w:t>
      </w:r>
      <w:r w:rsidR="006D42C7" w:rsidRPr="00B34427">
        <w:rPr>
          <w:rFonts w:ascii="Times New Roman" w:hAnsi="Times New Roman" w:cs="Times New Roman"/>
        </w:rPr>
        <w:t xml:space="preserve">% w 2025 </w:t>
      </w:r>
      <w:r w:rsidR="00C448F4" w:rsidRPr="00B34427">
        <w:rPr>
          <w:rFonts w:ascii="Times New Roman" w:hAnsi="Times New Roman" w:cs="Times New Roman"/>
        </w:rPr>
        <w:t xml:space="preserve">r. </w:t>
      </w:r>
      <w:r w:rsidR="006D42C7" w:rsidRPr="00B34427">
        <w:rPr>
          <w:rFonts w:ascii="Times New Roman" w:hAnsi="Times New Roman" w:cs="Times New Roman"/>
        </w:rPr>
        <w:t xml:space="preserve">i 9% w 2026 </w:t>
      </w:r>
      <w:r w:rsidR="00C448F4" w:rsidRPr="00B34427">
        <w:rPr>
          <w:rFonts w:ascii="Times New Roman" w:hAnsi="Times New Roman" w:cs="Times New Roman"/>
        </w:rPr>
        <w:t xml:space="preserve">r. </w:t>
      </w:r>
      <w:r w:rsidRPr="00B34427">
        <w:rPr>
          <w:rFonts w:ascii="Times New Roman" w:hAnsi="Times New Roman" w:cs="Times New Roman"/>
        </w:rPr>
        <w:t xml:space="preserve">i </w:t>
      </w:r>
      <w:r w:rsidR="00CA035B" w:rsidRPr="00B34427">
        <w:rPr>
          <w:rFonts w:ascii="Times New Roman" w:hAnsi="Times New Roman" w:cs="Times New Roman"/>
        </w:rPr>
        <w:t>ustanowieni</w:t>
      </w:r>
      <w:r w:rsidR="0015029E" w:rsidRPr="00B34427">
        <w:rPr>
          <w:rFonts w:ascii="Times New Roman" w:hAnsi="Times New Roman" w:cs="Times New Roman"/>
        </w:rPr>
        <w:t>e</w:t>
      </w:r>
      <w:r w:rsidR="006D42C7" w:rsidRPr="00B34427">
        <w:rPr>
          <w:rFonts w:ascii="Times New Roman" w:hAnsi="Times New Roman" w:cs="Times New Roman"/>
        </w:rPr>
        <w:t xml:space="preserve"> udziału, o którym mowa w art. 59 pkt</w:t>
      </w:r>
      <w:r w:rsidR="00792F34" w:rsidRPr="00B34427">
        <w:rPr>
          <w:rFonts w:ascii="Times New Roman" w:hAnsi="Times New Roman" w:cs="Times New Roman"/>
        </w:rPr>
        <w:t> </w:t>
      </w:r>
      <w:r w:rsidR="00CA035B" w:rsidRPr="00B34427">
        <w:rPr>
          <w:rFonts w:ascii="Times New Roman" w:hAnsi="Times New Roman" w:cs="Times New Roman"/>
        </w:rPr>
        <w:t>2</w:t>
      </w:r>
      <w:r w:rsidR="00696CF7" w:rsidRPr="00B34427">
        <w:rPr>
          <w:rFonts w:ascii="Times New Roman" w:hAnsi="Times New Roman" w:cs="Times New Roman"/>
        </w:rPr>
        <w:t xml:space="preserve"> ustawy</w:t>
      </w:r>
      <w:r w:rsidR="006D42C7" w:rsidRPr="00B34427">
        <w:rPr>
          <w:rFonts w:ascii="Times New Roman" w:hAnsi="Times New Roman" w:cs="Times New Roman"/>
        </w:rPr>
        <w:t xml:space="preserve">, czyli </w:t>
      </w:r>
      <w:r w:rsidRPr="00B34427">
        <w:rPr>
          <w:rFonts w:ascii="Times New Roman" w:hAnsi="Times New Roman" w:cs="Times New Roman"/>
        </w:rPr>
        <w:t>dla tzw. „błękitnych certyfikatów”</w:t>
      </w:r>
      <w:r w:rsidR="006D42C7" w:rsidRPr="00B34427">
        <w:rPr>
          <w:rFonts w:ascii="Times New Roman" w:hAnsi="Times New Roman" w:cs="Times New Roman"/>
        </w:rPr>
        <w:t xml:space="preserve"> na poziomie 0,5%</w:t>
      </w:r>
      <w:r w:rsidRPr="00B34427">
        <w:rPr>
          <w:rFonts w:ascii="Times New Roman" w:hAnsi="Times New Roman" w:cs="Times New Roman"/>
        </w:rPr>
        <w:t>. Wielkość udziału określona na tym poziomie przyczyni się do stabiln</w:t>
      </w:r>
      <w:r w:rsidR="00CC1406" w:rsidRPr="00B34427">
        <w:rPr>
          <w:rFonts w:ascii="Times New Roman" w:hAnsi="Times New Roman" w:cs="Times New Roman"/>
        </w:rPr>
        <w:t>ości</w:t>
      </w:r>
      <w:r w:rsidRPr="00B34427">
        <w:rPr>
          <w:rFonts w:ascii="Times New Roman" w:hAnsi="Times New Roman" w:cs="Times New Roman"/>
        </w:rPr>
        <w:t xml:space="preserve"> i przewidywaln</w:t>
      </w:r>
      <w:r w:rsidR="00CC1406" w:rsidRPr="00B34427">
        <w:rPr>
          <w:rFonts w:ascii="Times New Roman" w:hAnsi="Times New Roman" w:cs="Times New Roman"/>
        </w:rPr>
        <w:t>ości</w:t>
      </w:r>
      <w:r w:rsidRPr="00B34427">
        <w:rPr>
          <w:rFonts w:ascii="Times New Roman" w:hAnsi="Times New Roman" w:cs="Times New Roman"/>
        </w:rPr>
        <w:t xml:space="preserve"> warunków funkcjonowania rynku OZE dla wytwórców partycypujących w systemie świadectw pochodzenia.</w:t>
      </w:r>
    </w:p>
    <w:p w14:paraId="50B22848" w14:textId="132AAAAA" w:rsidR="00A67B02" w:rsidRPr="00B34427" w:rsidRDefault="004E5C24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Działania regulacyjne zapoczątkowane w 20</w:t>
      </w:r>
      <w:r w:rsidR="00325A7A" w:rsidRPr="00B34427">
        <w:rPr>
          <w:rFonts w:ascii="Times New Roman" w:hAnsi="Times New Roman" w:cs="Times New Roman"/>
        </w:rPr>
        <w:t>19 r.</w:t>
      </w:r>
      <w:r w:rsidRPr="00B34427">
        <w:rPr>
          <w:rFonts w:ascii="Times New Roman" w:hAnsi="Times New Roman" w:cs="Times New Roman"/>
        </w:rPr>
        <w:t xml:space="preserve"> doprowadziły nie tylko do ograniczenia nadpodaży zielonych certyfikatów, ale również spowodowały znaczący spadek liczby aktywnych świadectw pochodzenia na kontach uczestników systemu, oceniając wg stanu na koniec 2022 r. w porównaniu do stanu na koniec 2019 r.</w:t>
      </w:r>
      <w:r w:rsidR="00D400AF" w:rsidRPr="00B34427">
        <w:rPr>
          <w:rFonts w:ascii="Times New Roman" w:hAnsi="Times New Roman" w:cs="Times New Roman"/>
        </w:rPr>
        <w:t xml:space="preserve"> </w:t>
      </w:r>
      <w:r w:rsidR="005C6F9D" w:rsidRPr="00B34427">
        <w:rPr>
          <w:rFonts w:ascii="Times New Roman" w:hAnsi="Times New Roman" w:cs="Times New Roman"/>
        </w:rPr>
        <w:t>Efekt</w:t>
      </w:r>
      <w:r w:rsidR="00D400AF" w:rsidRPr="00B34427">
        <w:rPr>
          <w:rFonts w:ascii="Times New Roman" w:hAnsi="Times New Roman" w:cs="Times New Roman"/>
        </w:rPr>
        <w:t xml:space="preserve"> osiągnięto poprzez p</w:t>
      </w:r>
      <w:r w:rsidR="00A67B02" w:rsidRPr="00B34427">
        <w:rPr>
          <w:rFonts w:ascii="Times New Roman" w:hAnsi="Times New Roman" w:cs="Times New Roman"/>
        </w:rPr>
        <w:t xml:space="preserve">odniesienie udziału </w:t>
      </w:r>
      <w:r w:rsidR="006D42C7" w:rsidRPr="00B34427">
        <w:rPr>
          <w:rFonts w:ascii="Times New Roman" w:hAnsi="Times New Roman" w:cs="Times New Roman"/>
        </w:rPr>
        <w:t>dla zielonych certyfikatów na</w:t>
      </w:r>
      <w:r w:rsidR="00A67B02" w:rsidRPr="00B34427">
        <w:rPr>
          <w:rFonts w:ascii="Times New Roman" w:hAnsi="Times New Roman" w:cs="Times New Roman"/>
        </w:rPr>
        <w:t xml:space="preserve"> 20</w:t>
      </w:r>
      <w:r w:rsidR="00CC1406" w:rsidRPr="00B34427">
        <w:rPr>
          <w:rFonts w:ascii="Times New Roman" w:hAnsi="Times New Roman" w:cs="Times New Roman"/>
        </w:rPr>
        <w:t>20</w:t>
      </w:r>
      <w:r w:rsidR="00C448F4" w:rsidRPr="00B34427">
        <w:rPr>
          <w:rFonts w:ascii="Times New Roman" w:hAnsi="Times New Roman" w:cs="Times New Roman"/>
        </w:rPr>
        <w:t xml:space="preserve"> r.</w:t>
      </w:r>
      <w:r w:rsidR="006D42C7" w:rsidRPr="00B34427">
        <w:rPr>
          <w:rFonts w:ascii="Times New Roman" w:hAnsi="Times New Roman" w:cs="Times New Roman"/>
        </w:rPr>
        <w:t>,</w:t>
      </w:r>
      <w:r w:rsidR="00A67B02" w:rsidRPr="00B34427">
        <w:rPr>
          <w:rFonts w:ascii="Times New Roman" w:hAnsi="Times New Roman" w:cs="Times New Roman"/>
        </w:rPr>
        <w:t xml:space="preserve"> utrzymanie </w:t>
      </w:r>
      <w:r w:rsidR="002728E4" w:rsidRPr="00B34427">
        <w:rPr>
          <w:rFonts w:ascii="Times New Roman" w:hAnsi="Times New Roman" w:cs="Times New Roman"/>
        </w:rPr>
        <w:t>tego udziału</w:t>
      </w:r>
      <w:r w:rsidR="00A67B02" w:rsidRPr="00B34427">
        <w:rPr>
          <w:rFonts w:ascii="Times New Roman" w:hAnsi="Times New Roman" w:cs="Times New Roman"/>
        </w:rPr>
        <w:t xml:space="preserve"> na </w:t>
      </w:r>
      <w:r w:rsidR="0056465D" w:rsidRPr="00B34427">
        <w:rPr>
          <w:rFonts w:ascii="Times New Roman" w:hAnsi="Times New Roman" w:cs="Times New Roman"/>
        </w:rPr>
        <w:t xml:space="preserve">niezmienionym, </w:t>
      </w:r>
      <w:r w:rsidR="00A27724" w:rsidRPr="00B34427">
        <w:rPr>
          <w:rFonts w:ascii="Times New Roman" w:hAnsi="Times New Roman" w:cs="Times New Roman"/>
        </w:rPr>
        <w:t xml:space="preserve">wysokim </w:t>
      </w:r>
      <w:r w:rsidR="00A67B02" w:rsidRPr="00B34427">
        <w:rPr>
          <w:rFonts w:ascii="Times New Roman" w:hAnsi="Times New Roman" w:cs="Times New Roman"/>
        </w:rPr>
        <w:t xml:space="preserve">poziomie </w:t>
      </w:r>
      <w:r w:rsidR="006D42C7" w:rsidRPr="00B34427">
        <w:rPr>
          <w:rFonts w:ascii="Times New Roman" w:hAnsi="Times New Roman" w:cs="Times New Roman"/>
        </w:rPr>
        <w:t>na</w:t>
      </w:r>
      <w:r w:rsidR="00A67B02" w:rsidRPr="00B34427">
        <w:rPr>
          <w:rFonts w:ascii="Times New Roman" w:hAnsi="Times New Roman" w:cs="Times New Roman"/>
        </w:rPr>
        <w:t xml:space="preserve"> </w:t>
      </w:r>
      <w:r w:rsidR="006D42C7" w:rsidRPr="00B34427">
        <w:rPr>
          <w:rFonts w:ascii="Times New Roman" w:hAnsi="Times New Roman" w:cs="Times New Roman"/>
        </w:rPr>
        <w:t>2021</w:t>
      </w:r>
      <w:r w:rsidR="00C448F4" w:rsidRPr="00B34427">
        <w:rPr>
          <w:rFonts w:ascii="Times New Roman" w:hAnsi="Times New Roman" w:cs="Times New Roman"/>
        </w:rPr>
        <w:t xml:space="preserve"> r.</w:t>
      </w:r>
      <w:r w:rsidR="006D42C7" w:rsidRPr="00B34427">
        <w:rPr>
          <w:rFonts w:ascii="Times New Roman" w:hAnsi="Times New Roman" w:cs="Times New Roman"/>
        </w:rPr>
        <w:t>, a następnie</w:t>
      </w:r>
      <w:r w:rsidR="00414C07" w:rsidRPr="00B34427">
        <w:rPr>
          <w:rFonts w:ascii="Times New Roman" w:hAnsi="Times New Roman" w:cs="Times New Roman"/>
        </w:rPr>
        <w:t xml:space="preserve"> </w:t>
      </w:r>
      <w:r w:rsidR="006D42C7" w:rsidRPr="00B34427">
        <w:rPr>
          <w:rFonts w:ascii="Times New Roman" w:hAnsi="Times New Roman" w:cs="Times New Roman"/>
        </w:rPr>
        <w:t xml:space="preserve">obniżenie </w:t>
      </w:r>
      <w:r w:rsidR="00414C07" w:rsidRPr="00B34427">
        <w:rPr>
          <w:rFonts w:ascii="Times New Roman" w:hAnsi="Times New Roman" w:cs="Times New Roman"/>
        </w:rPr>
        <w:t xml:space="preserve">przedmiotowego udziału </w:t>
      </w:r>
      <w:r w:rsidR="00A7658C" w:rsidRPr="00B34427">
        <w:rPr>
          <w:rFonts w:ascii="Times New Roman" w:hAnsi="Times New Roman" w:cs="Times New Roman"/>
        </w:rPr>
        <w:t xml:space="preserve">na lata 2022-2023 </w:t>
      </w:r>
      <w:r w:rsidR="0099614F" w:rsidRPr="00B34427">
        <w:rPr>
          <w:rFonts w:ascii="Times New Roman" w:hAnsi="Times New Roman" w:cs="Times New Roman"/>
        </w:rPr>
        <w:t xml:space="preserve">znacznie </w:t>
      </w:r>
      <w:r w:rsidR="006D42C7" w:rsidRPr="00B34427">
        <w:rPr>
          <w:rFonts w:ascii="Times New Roman" w:hAnsi="Times New Roman" w:cs="Times New Roman"/>
        </w:rPr>
        <w:t>poniżej</w:t>
      </w:r>
      <w:r w:rsidR="0099614F" w:rsidRPr="00B34427">
        <w:rPr>
          <w:rFonts w:ascii="Times New Roman" w:hAnsi="Times New Roman" w:cs="Times New Roman"/>
        </w:rPr>
        <w:t xml:space="preserve"> </w:t>
      </w:r>
      <w:r w:rsidR="006D42C7" w:rsidRPr="00B34427">
        <w:rPr>
          <w:rFonts w:ascii="Times New Roman" w:hAnsi="Times New Roman" w:cs="Times New Roman"/>
        </w:rPr>
        <w:t>wielkości, któr</w:t>
      </w:r>
      <w:r w:rsidR="008739C2" w:rsidRPr="00B34427">
        <w:rPr>
          <w:rFonts w:ascii="Times New Roman" w:hAnsi="Times New Roman" w:cs="Times New Roman"/>
        </w:rPr>
        <w:t xml:space="preserve">a wynikała z </w:t>
      </w:r>
      <w:r w:rsidR="006D42C7" w:rsidRPr="00B34427">
        <w:rPr>
          <w:rFonts w:ascii="Times New Roman" w:hAnsi="Times New Roman" w:cs="Times New Roman"/>
        </w:rPr>
        <w:t>wolumen</w:t>
      </w:r>
      <w:r w:rsidR="008739C2" w:rsidRPr="00B34427">
        <w:rPr>
          <w:rFonts w:ascii="Times New Roman" w:hAnsi="Times New Roman" w:cs="Times New Roman"/>
        </w:rPr>
        <w:t>u</w:t>
      </w:r>
      <w:r w:rsidR="006D42C7" w:rsidRPr="00B34427">
        <w:rPr>
          <w:rFonts w:ascii="Times New Roman" w:hAnsi="Times New Roman" w:cs="Times New Roman"/>
        </w:rPr>
        <w:t xml:space="preserve"> energii </w:t>
      </w:r>
      <w:r w:rsidR="00152798" w:rsidRPr="00B34427">
        <w:rPr>
          <w:rFonts w:ascii="Times New Roman" w:hAnsi="Times New Roman" w:cs="Times New Roman"/>
        </w:rPr>
        <w:t>wyproduk</w:t>
      </w:r>
      <w:r w:rsidR="00FB3BF1" w:rsidRPr="00B34427">
        <w:rPr>
          <w:rFonts w:ascii="Times New Roman" w:hAnsi="Times New Roman" w:cs="Times New Roman"/>
        </w:rPr>
        <w:t>owan</w:t>
      </w:r>
      <w:r w:rsidR="008739C2" w:rsidRPr="00B34427">
        <w:rPr>
          <w:rFonts w:ascii="Times New Roman" w:hAnsi="Times New Roman" w:cs="Times New Roman"/>
        </w:rPr>
        <w:t>ego</w:t>
      </w:r>
      <w:r w:rsidR="00FB3BF1" w:rsidRPr="00B34427">
        <w:rPr>
          <w:rFonts w:ascii="Times New Roman" w:hAnsi="Times New Roman" w:cs="Times New Roman"/>
        </w:rPr>
        <w:t xml:space="preserve"> przez</w:t>
      </w:r>
      <w:r w:rsidR="00152798" w:rsidRPr="00B34427">
        <w:rPr>
          <w:rFonts w:ascii="Times New Roman" w:hAnsi="Times New Roman" w:cs="Times New Roman"/>
        </w:rPr>
        <w:t xml:space="preserve"> instalacje</w:t>
      </w:r>
      <w:r w:rsidR="00C448F4" w:rsidRPr="00B34427">
        <w:rPr>
          <w:rFonts w:ascii="Times New Roman" w:hAnsi="Times New Roman" w:cs="Times New Roman"/>
        </w:rPr>
        <w:t xml:space="preserve"> wychodzące z systemu</w:t>
      </w:r>
      <w:r w:rsidR="00152798" w:rsidRPr="00B34427">
        <w:rPr>
          <w:rFonts w:ascii="Times New Roman" w:hAnsi="Times New Roman" w:cs="Times New Roman"/>
        </w:rPr>
        <w:t xml:space="preserve"> wsparcia</w:t>
      </w:r>
      <w:r w:rsidR="00C448F4" w:rsidRPr="00B34427">
        <w:rPr>
          <w:rFonts w:ascii="Times New Roman" w:hAnsi="Times New Roman" w:cs="Times New Roman"/>
        </w:rPr>
        <w:t xml:space="preserve"> świadectw pochodzenia</w:t>
      </w:r>
      <w:r w:rsidR="00D400AF" w:rsidRPr="00B34427">
        <w:rPr>
          <w:rFonts w:ascii="Times New Roman" w:hAnsi="Times New Roman" w:cs="Times New Roman"/>
        </w:rPr>
        <w:t>.</w:t>
      </w:r>
      <w:r w:rsidR="00A67B02" w:rsidRPr="00B34427">
        <w:rPr>
          <w:rFonts w:ascii="Times New Roman" w:hAnsi="Times New Roman" w:cs="Times New Roman"/>
        </w:rPr>
        <w:t xml:space="preserve"> </w:t>
      </w:r>
      <w:r w:rsidR="00414C07" w:rsidRPr="00B34427">
        <w:rPr>
          <w:rFonts w:ascii="Times New Roman" w:hAnsi="Times New Roman" w:cs="Times New Roman"/>
        </w:rPr>
        <w:t xml:space="preserve">W celu </w:t>
      </w:r>
      <w:r w:rsidRPr="00B34427">
        <w:rPr>
          <w:rFonts w:ascii="Times New Roman" w:hAnsi="Times New Roman" w:cs="Times New Roman"/>
        </w:rPr>
        <w:t>ustabilizowania</w:t>
      </w:r>
      <w:r w:rsidR="00A67B02" w:rsidRPr="00B34427">
        <w:rPr>
          <w:rFonts w:ascii="Times New Roman" w:hAnsi="Times New Roman" w:cs="Times New Roman"/>
        </w:rPr>
        <w:t xml:space="preserve"> sytuacji uczestników systemu świadectw pochodzenia</w:t>
      </w:r>
      <w:r w:rsidR="00140586" w:rsidRPr="00B34427">
        <w:rPr>
          <w:rFonts w:ascii="Times New Roman" w:hAnsi="Times New Roman" w:cs="Times New Roman"/>
        </w:rPr>
        <w:t xml:space="preserve"> </w:t>
      </w:r>
      <w:r w:rsidR="00C448F4" w:rsidRPr="00B34427">
        <w:rPr>
          <w:rFonts w:ascii="Times New Roman" w:hAnsi="Times New Roman" w:cs="Times New Roman"/>
        </w:rPr>
        <w:t xml:space="preserve">w latach 2024-2026 </w:t>
      </w:r>
      <w:r w:rsidR="00140586" w:rsidRPr="00B34427">
        <w:rPr>
          <w:rFonts w:ascii="Times New Roman" w:hAnsi="Times New Roman" w:cs="Times New Roman"/>
        </w:rPr>
        <w:t>niezbędna jest</w:t>
      </w:r>
      <w:r w:rsidR="00414C07" w:rsidRPr="00B34427">
        <w:rPr>
          <w:rFonts w:ascii="Times New Roman" w:hAnsi="Times New Roman" w:cs="Times New Roman"/>
        </w:rPr>
        <w:t xml:space="preserve"> redukcja wielkości obowiązku proporcjonalna do wolumenu energii</w:t>
      </w:r>
      <w:r w:rsidR="00C448F4" w:rsidRPr="00B34427">
        <w:rPr>
          <w:rFonts w:ascii="Times New Roman" w:hAnsi="Times New Roman" w:cs="Times New Roman"/>
        </w:rPr>
        <w:t xml:space="preserve"> wytworzonego </w:t>
      </w:r>
      <w:r w:rsidR="00325A7A" w:rsidRPr="00B34427">
        <w:rPr>
          <w:rFonts w:ascii="Times New Roman" w:hAnsi="Times New Roman" w:cs="Times New Roman"/>
        </w:rPr>
        <w:br/>
      </w:r>
      <w:r w:rsidR="00C448F4" w:rsidRPr="00B34427">
        <w:rPr>
          <w:rFonts w:ascii="Times New Roman" w:hAnsi="Times New Roman" w:cs="Times New Roman"/>
        </w:rPr>
        <w:t xml:space="preserve">w instalacjach OZE tracących </w:t>
      </w:r>
      <w:r w:rsidR="0099614F" w:rsidRPr="00B34427">
        <w:rPr>
          <w:rFonts w:ascii="Times New Roman" w:hAnsi="Times New Roman" w:cs="Times New Roman"/>
        </w:rPr>
        <w:t>prawo do wsparcia</w:t>
      </w:r>
      <w:r w:rsidR="000E775C" w:rsidRPr="00B34427">
        <w:rPr>
          <w:rFonts w:ascii="Times New Roman" w:hAnsi="Times New Roman" w:cs="Times New Roman"/>
        </w:rPr>
        <w:t xml:space="preserve"> w systemie świadectw pochodzenia</w:t>
      </w:r>
      <w:r w:rsidR="00140586" w:rsidRPr="00B34427">
        <w:rPr>
          <w:rFonts w:ascii="Times New Roman" w:hAnsi="Times New Roman" w:cs="Times New Roman"/>
        </w:rPr>
        <w:t xml:space="preserve"> </w:t>
      </w:r>
      <w:r w:rsidR="005C6F9D" w:rsidRPr="00B34427">
        <w:rPr>
          <w:rFonts w:ascii="Times New Roman" w:hAnsi="Times New Roman" w:cs="Times New Roman"/>
        </w:rPr>
        <w:t>oraz</w:t>
      </w:r>
      <w:r w:rsidR="00140586" w:rsidRPr="00B34427">
        <w:rPr>
          <w:rFonts w:ascii="Times New Roman" w:hAnsi="Times New Roman" w:cs="Times New Roman"/>
        </w:rPr>
        <w:t xml:space="preserve"> </w:t>
      </w:r>
      <w:r w:rsidR="00C448F4" w:rsidRPr="00B34427">
        <w:rPr>
          <w:rFonts w:ascii="Times New Roman" w:hAnsi="Times New Roman" w:cs="Times New Roman"/>
        </w:rPr>
        <w:t xml:space="preserve">potencjalnego </w:t>
      </w:r>
      <w:r w:rsidR="00792F34" w:rsidRPr="00B34427">
        <w:rPr>
          <w:rFonts w:ascii="Times New Roman" w:hAnsi="Times New Roman" w:cs="Times New Roman"/>
        </w:rPr>
        <w:t>wolumenu, który</w:t>
      </w:r>
      <w:r w:rsidR="005C6F9D" w:rsidRPr="00B34427">
        <w:rPr>
          <w:rFonts w:ascii="Times New Roman" w:hAnsi="Times New Roman" w:cs="Times New Roman"/>
        </w:rPr>
        <w:t xml:space="preserve"> wyprodukowałyby </w:t>
      </w:r>
      <w:r w:rsidR="00C448F4" w:rsidRPr="00B34427">
        <w:rPr>
          <w:rFonts w:ascii="Times New Roman" w:hAnsi="Times New Roman" w:cs="Times New Roman"/>
        </w:rPr>
        <w:t>instalacj</w:t>
      </w:r>
      <w:r w:rsidR="005C6F9D" w:rsidRPr="00B34427">
        <w:rPr>
          <w:rFonts w:ascii="Times New Roman" w:hAnsi="Times New Roman" w:cs="Times New Roman"/>
        </w:rPr>
        <w:t>e</w:t>
      </w:r>
      <w:r w:rsidR="00C448F4" w:rsidRPr="00B34427">
        <w:rPr>
          <w:rFonts w:ascii="Times New Roman" w:hAnsi="Times New Roman" w:cs="Times New Roman"/>
        </w:rPr>
        <w:t xml:space="preserve"> wycofywan</w:t>
      </w:r>
      <w:r w:rsidR="005C6F9D" w:rsidRPr="00B34427">
        <w:rPr>
          <w:rFonts w:ascii="Times New Roman" w:hAnsi="Times New Roman" w:cs="Times New Roman"/>
        </w:rPr>
        <w:t>e</w:t>
      </w:r>
      <w:r w:rsidR="00C448F4" w:rsidRPr="00B34427">
        <w:rPr>
          <w:rFonts w:ascii="Times New Roman" w:hAnsi="Times New Roman" w:cs="Times New Roman"/>
        </w:rPr>
        <w:t xml:space="preserve"> z </w:t>
      </w:r>
      <w:r w:rsidR="00140586" w:rsidRPr="00B34427">
        <w:rPr>
          <w:rFonts w:ascii="Times New Roman" w:hAnsi="Times New Roman" w:cs="Times New Roman"/>
        </w:rPr>
        <w:t>eksploatacji</w:t>
      </w:r>
      <w:r w:rsidR="005C6F9D" w:rsidRPr="00B34427">
        <w:rPr>
          <w:rFonts w:ascii="Times New Roman" w:hAnsi="Times New Roman" w:cs="Times New Roman"/>
        </w:rPr>
        <w:t xml:space="preserve"> wraz z zakończeniem okresu wsparcia.</w:t>
      </w:r>
    </w:p>
    <w:p w14:paraId="5DC02ACC" w14:textId="56E7DD95" w:rsidR="00A67B02" w:rsidRPr="00B34427" w:rsidRDefault="0099614F" w:rsidP="00B34427">
      <w:pPr>
        <w:spacing w:after="200"/>
        <w:jc w:val="both"/>
      </w:pPr>
      <w:r w:rsidRPr="00B34427">
        <w:t>N</w:t>
      </w:r>
      <w:r w:rsidR="00A67B02" w:rsidRPr="00B34427">
        <w:t xml:space="preserve">ależy zaznaczyć, że </w:t>
      </w:r>
      <w:r w:rsidRPr="00B34427">
        <w:t xml:space="preserve">celem regulacji nie jest doprowadzenie do równowagi popytu </w:t>
      </w:r>
      <w:r w:rsidRPr="00B34427">
        <w:br/>
        <w:t xml:space="preserve">i podaży </w:t>
      </w:r>
      <w:r w:rsidR="00164768" w:rsidRPr="00B34427">
        <w:t xml:space="preserve">zielonych certyfikatów w przewidywanym </w:t>
      </w:r>
      <w:r w:rsidR="005E4339" w:rsidRPr="00B34427">
        <w:t xml:space="preserve">3-letnim </w:t>
      </w:r>
      <w:r w:rsidR="00164768" w:rsidRPr="00B34427">
        <w:t xml:space="preserve">okresie regulacji. Stan równowagi byłby niezasadny ze </w:t>
      </w:r>
      <w:r w:rsidRPr="00B34427">
        <w:t xml:space="preserve">względu na wciąż znaczącą liczbą aktywnych świadectw pochodzenia zapisanych na kontach użytkowników systemu. Zaproponowana redukcja wielkości obowiązku jedynie zniweluje wpływ zmniejszenia się podaży </w:t>
      </w:r>
      <w:r w:rsidR="00AF71B8" w:rsidRPr="00B34427">
        <w:t xml:space="preserve">zielonych </w:t>
      </w:r>
      <w:r w:rsidR="00E14B95" w:rsidRPr="00B34427">
        <w:t xml:space="preserve">certyfikatów </w:t>
      </w:r>
      <w:r w:rsidR="00FB3BF1" w:rsidRPr="00B34427">
        <w:t xml:space="preserve">na występującą </w:t>
      </w:r>
      <w:r w:rsidR="00D30328" w:rsidRPr="00B34427">
        <w:t>już w systemie</w:t>
      </w:r>
      <w:r w:rsidR="00FB3BF1" w:rsidRPr="00B34427">
        <w:t xml:space="preserve"> nadwyżkę po</w:t>
      </w:r>
      <w:r w:rsidR="00D30328" w:rsidRPr="00B34427">
        <w:t>pytu</w:t>
      </w:r>
      <w:r w:rsidR="00C448F4" w:rsidRPr="00B34427">
        <w:t xml:space="preserve">, w dodatku jedynie </w:t>
      </w:r>
      <w:r w:rsidR="00AF71B8" w:rsidRPr="00B34427">
        <w:t xml:space="preserve">w zakresie wpływu kolejnych instalacji opuszczających system na zwiększenie tej nadwyżki. </w:t>
      </w:r>
      <w:r w:rsidR="00A27724" w:rsidRPr="00B34427">
        <w:t>W</w:t>
      </w:r>
      <w:r w:rsidR="00E14B95" w:rsidRPr="00B34427">
        <w:t xml:space="preserve"> perspektywie 3 lat</w:t>
      </w:r>
      <w:r w:rsidR="00AF71B8" w:rsidRPr="00B34427">
        <w:t>,</w:t>
      </w:r>
      <w:r w:rsidR="00E14B95" w:rsidRPr="00B34427">
        <w:t xml:space="preserve"> ze względu na </w:t>
      </w:r>
      <w:r w:rsidR="00AF71B8" w:rsidRPr="00B34427">
        <w:t>odziedziczony</w:t>
      </w:r>
      <w:r w:rsidR="00C448F4" w:rsidRPr="00B34427">
        <w:t xml:space="preserve"> </w:t>
      </w:r>
      <w:r w:rsidR="00AF71B8" w:rsidRPr="00B34427">
        <w:t xml:space="preserve">z poprzedniego okresu regulacji </w:t>
      </w:r>
      <w:r w:rsidR="00E14B95" w:rsidRPr="00B34427">
        <w:t>popyt przewyższając</w:t>
      </w:r>
      <w:r w:rsidR="00A27724" w:rsidRPr="00B34427">
        <w:t>y</w:t>
      </w:r>
      <w:r w:rsidR="00E14B95" w:rsidRPr="00B34427">
        <w:t xml:space="preserve"> podaż</w:t>
      </w:r>
      <w:r w:rsidR="00A27724" w:rsidRPr="00B34427">
        <w:t xml:space="preserve">, </w:t>
      </w:r>
      <w:r w:rsidR="00164768" w:rsidRPr="00B34427">
        <w:t>proponowana regulacja</w:t>
      </w:r>
      <w:r w:rsidR="00A27724" w:rsidRPr="00B34427">
        <w:t xml:space="preserve"> </w:t>
      </w:r>
      <w:r w:rsidR="00E14B95" w:rsidRPr="00B34427">
        <w:t xml:space="preserve">powinna doprowadzić do sytuacji, w której </w:t>
      </w:r>
      <w:r w:rsidR="00164768" w:rsidRPr="00B34427">
        <w:t xml:space="preserve">wszystkie zainteresowane podmioty będą mogły po </w:t>
      </w:r>
      <w:r w:rsidR="000E775C" w:rsidRPr="00B34427">
        <w:t>satysfakcjonującej</w:t>
      </w:r>
      <w:r w:rsidR="00164768" w:rsidRPr="00B34427">
        <w:t xml:space="preserve"> cenie sprzedać zielone certyfikaty, których nie sprzedały w latach ubiegłych</w:t>
      </w:r>
      <w:r w:rsidR="00E14B95" w:rsidRPr="00B34427">
        <w:t xml:space="preserve">. </w:t>
      </w:r>
      <w:r w:rsidR="00164768" w:rsidRPr="00B34427">
        <w:t xml:space="preserve">Przewidywana redukcja wielkości obowiązku </w:t>
      </w:r>
      <w:r w:rsidR="00C448F4" w:rsidRPr="00B34427">
        <w:t xml:space="preserve">uzyskania i umorzenia świadectw pochodzenia </w:t>
      </w:r>
      <w:r w:rsidR="00A14BFC" w:rsidRPr="00B34427">
        <w:t xml:space="preserve">nie uwzględnia możliwej </w:t>
      </w:r>
      <w:r w:rsidR="00A67B02" w:rsidRPr="00B34427">
        <w:t>migracj</w:t>
      </w:r>
      <w:r w:rsidR="00C05C61" w:rsidRPr="00B34427">
        <w:t>i</w:t>
      </w:r>
      <w:r w:rsidR="00A67B02" w:rsidRPr="00B34427">
        <w:t xml:space="preserve"> istniejących instalacji do innych systemów wsparcia, </w:t>
      </w:r>
      <w:r w:rsidR="000E775C" w:rsidRPr="00B34427">
        <w:t xml:space="preserve">ani możliwego znaczącego zwiększenia sprzedaży energii do odbiorców końcowych, </w:t>
      </w:r>
      <w:r w:rsidR="000E775C" w:rsidRPr="00B34427">
        <w:lastRenderedPageBreak/>
        <w:t xml:space="preserve">np. ze względu na szybszy niż obecnie zakładany rozwój </w:t>
      </w:r>
      <w:proofErr w:type="spellStart"/>
      <w:r w:rsidR="00DA0735" w:rsidRPr="00B34427">
        <w:t>elektromobilności</w:t>
      </w:r>
      <w:proofErr w:type="spellEnd"/>
      <w:r w:rsidR="000E775C" w:rsidRPr="00B34427">
        <w:t>, dlatego</w:t>
      </w:r>
      <w:r w:rsidR="00A67B02" w:rsidRPr="00B34427">
        <w:t xml:space="preserve"> nie wyklucza się wprowadzenia stosownej korekty </w:t>
      </w:r>
      <w:r w:rsidR="000E775C" w:rsidRPr="00B34427">
        <w:t>w trakcie trwania okresu regulacji</w:t>
      </w:r>
      <w:r w:rsidR="00DA0735" w:rsidRPr="00B34427">
        <w:t>.</w:t>
      </w:r>
      <w:r w:rsidR="000E775C" w:rsidRPr="00B34427">
        <w:t xml:space="preserve"> </w:t>
      </w:r>
      <w:r w:rsidR="00DA0735" w:rsidRPr="00B34427">
        <w:t xml:space="preserve">Należy jednak zaznaczyć, że zmiana wielkości udziału w trakcie okresu </w:t>
      </w:r>
      <w:r w:rsidR="002D5A7D" w:rsidRPr="00B34427">
        <w:t>obowiązywania przepisów</w:t>
      </w:r>
      <w:r w:rsidR="00DA0735" w:rsidRPr="00B34427">
        <w:t xml:space="preserve"> nie byłaby</w:t>
      </w:r>
      <w:r w:rsidR="000E775C" w:rsidRPr="00B34427">
        <w:t xml:space="preserve"> działanie</w:t>
      </w:r>
      <w:r w:rsidR="00DA0735" w:rsidRPr="00B34427">
        <w:t>m</w:t>
      </w:r>
      <w:r w:rsidR="000E775C" w:rsidRPr="00B34427">
        <w:t xml:space="preserve"> pożądan</w:t>
      </w:r>
      <w:r w:rsidR="00DA0735" w:rsidRPr="00B34427">
        <w:t>ym</w:t>
      </w:r>
      <w:r w:rsidR="000E775C" w:rsidRPr="00B34427">
        <w:t xml:space="preserve">, gdyż pełna i rzetelna ocena skutków zaproponowanej </w:t>
      </w:r>
      <w:r w:rsidR="00DA0735" w:rsidRPr="00B34427">
        <w:t xml:space="preserve">3-letniej </w:t>
      </w:r>
      <w:r w:rsidR="000E775C" w:rsidRPr="00B34427">
        <w:t>regulacji będzie możliwa dopiero w lipcu 2027 r</w:t>
      </w:r>
      <w:r w:rsidR="002D5A7D" w:rsidRPr="00B34427">
        <w:t>.</w:t>
      </w:r>
      <w:r w:rsidR="000E775C" w:rsidRPr="00B34427">
        <w:t xml:space="preserve"> w oparciu o ceny zielonych certyfikatów </w:t>
      </w:r>
      <w:r w:rsidR="00B92D87" w:rsidRPr="00B34427">
        <w:br/>
      </w:r>
      <w:r w:rsidR="000E775C" w:rsidRPr="00B34427">
        <w:t xml:space="preserve">i liczbę aktywnych </w:t>
      </w:r>
      <w:r w:rsidR="00DA0735" w:rsidRPr="00B34427">
        <w:t xml:space="preserve">świadectw pochodzenia na kontach użytkowników </w:t>
      </w:r>
      <w:r w:rsidR="005E4339" w:rsidRPr="00B34427">
        <w:t>po upływie terminu na realizację obowiązku umorzenia świadectw pochodzenia za 2026</w:t>
      </w:r>
      <w:r w:rsidR="002D5A7D" w:rsidRPr="00B34427">
        <w:t xml:space="preserve"> r</w:t>
      </w:r>
      <w:r w:rsidR="00DA0735" w:rsidRPr="00B34427">
        <w:t xml:space="preserve">. </w:t>
      </w:r>
    </w:p>
    <w:p w14:paraId="3C0CBCD7" w14:textId="1258C76A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 xml:space="preserve">W zakresie wpływu regulacji na funkcjonowanie mikro, małych i średnich przedsiębiorstw wyjaśnienia wymaga, iż prezentowane rozwiązania legislacyjne wychodzą naprzeciw oczekiwaniom społecznym oraz </w:t>
      </w:r>
      <w:r w:rsidR="00792F34" w:rsidRPr="00B34427">
        <w:rPr>
          <w:rFonts w:ascii="Times New Roman" w:hAnsi="Times New Roman" w:cs="Times New Roman"/>
        </w:rPr>
        <w:t>oczekiwaniom przedsiębiorców</w:t>
      </w:r>
      <w:r w:rsidRPr="00B34427">
        <w:rPr>
          <w:rFonts w:ascii="Times New Roman" w:hAnsi="Times New Roman" w:cs="Times New Roman"/>
        </w:rPr>
        <w:t>, które kierowan</w:t>
      </w:r>
      <w:r w:rsidR="00CC1406" w:rsidRPr="00B34427">
        <w:rPr>
          <w:rFonts w:ascii="Times New Roman" w:hAnsi="Times New Roman" w:cs="Times New Roman"/>
        </w:rPr>
        <w:t xml:space="preserve">e były </w:t>
      </w:r>
      <w:r w:rsidRPr="00B34427">
        <w:rPr>
          <w:rFonts w:ascii="Times New Roman" w:hAnsi="Times New Roman" w:cs="Times New Roman"/>
        </w:rPr>
        <w:t>do administracji rządowej</w:t>
      </w:r>
      <w:r w:rsidR="002D5A7D" w:rsidRPr="00B34427">
        <w:rPr>
          <w:rFonts w:ascii="Times New Roman" w:hAnsi="Times New Roman" w:cs="Times New Roman"/>
        </w:rPr>
        <w:t>. Koszt pozyskania i umorzenia tzw. zielonych certyfikatów jest istotnym czynnikiem cenotwórczym energii elektrycznej dla odbiorcy końcowego, gdyż jest w całości na niego przenoszony.</w:t>
      </w:r>
    </w:p>
    <w:p w14:paraId="4FB54C56" w14:textId="580E0B36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Projekt rozporządzenia</w:t>
      </w:r>
      <w:r w:rsidR="0015029E" w:rsidRPr="00B34427">
        <w:rPr>
          <w:rFonts w:ascii="Times New Roman" w:hAnsi="Times New Roman" w:cs="Times New Roman"/>
        </w:rPr>
        <w:t xml:space="preserve"> nie</w:t>
      </w:r>
      <w:r w:rsidRPr="00B34427">
        <w:rPr>
          <w:rFonts w:ascii="Times New Roman" w:hAnsi="Times New Roman" w:cs="Times New Roman"/>
        </w:rPr>
        <w:t xml:space="preserve"> </w:t>
      </w:r>
      <w:r w:rsidR="00CA035B" w:rsidRPr="00B34427">
        <w:rPr>
          <w:rFonts w:ascii="Times New Roman" w:hAnsi="Times New Roman" w:cs="Times New Roman"/>
        </w:rPr>
        <w:t xml:space="preserve">podlega procedurze notyfikacji </w:t>
      </w:r>
      <w:r w:rsidR="00CA035B" w:rsidRPr="00B34427">
        <w:rPr>
          <w:rFonts w:ascii="Times New Roman" w:hAnsi="Times New Roman" w:cs="Times New Roman"/>
          <w:szCs w:val="24"/>
        </w:rPr>
        <w:t xml:space="preserve">aktów prawnych, określonej w przepisach rozporządzenia Rady Ministrów z dnia 23 grudnia 2002 r. w sprawie sposobu funkcjonowania krajowego systemu notyfikacji norm i aktów prawnych (Dz. U. poz. 2039, z </w:t>
      </w:r>
      <w:proofErr w:type="spellStart"/>
      <w:r w:rsidR="00CA035B" w:rsidRPr="00B34427">
        <w:rPr>
          <w:rFonts w:ascii="Times New Roman" w:hAnsi="Times New Roman" w:cs="Times New Roman"/>
          <w:szCs w:val="24"/>
        </w:rPr>
        <w:t>późn</w:t>
      </w:r>
      <w:proofErr w:type="spellEnd"/>
      <w:r w:rsidR="00CA035B" w:rsidRPr="00B34427">
        <w:rPr>
          <w:rFonts w:ascii="Times New Roman" w:hAnsi="Times New Roman" w:cs="Times New Roman"/>
          <w:szCs w:val="24"/>
        </w:rPr>
        <w:t>. zm.).</w:t>
      </w:r>
    </w:p>
    <w:p w14:paraId="6881C593" w14:textId="77777777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Projektowane rozporządzenie nie jest sprzeczne z prawem Unii Europejskiej.</w:t>
      </w:r>
    </w:p>
    <w:p w14:paraId="558581D3" w14:textId="77777777" w:rsidR="00A67B02" w:rsidRPr="00B34427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Projekt nie wymaga przedstawienia organom i instytucjom Unii Europejskiej, w tym Europejskiemu Bankowi Centralnemu, w celu uzyskania opinii, dokonania powiadomienia, konsultacji albo uzgodnienia.</w:t>
      </w:r>
    </w:p>
    <w:p w14:paraId="7ACA3F6E" w14:textId="610AB8B5" w:rsidR="00C066E9" w:rsidRDefault="00A67B02" w:rsidP="00B34427">
      <w:pPr>
        <w:pStyle w:val="NIEARTTEKSTtekstnieartykuowanynppodstprawnarozplubpreambua"/>
        <w:spacing w:before="0" w:after="200" w:line="240" w:lineRule="auto"/>
        <w:ind w:firstLine="0"/>
        <w:rPr>
          <w:rFonts w:ascii="Times New Roman" w:hAnsi="Times New Roman" w:cs="Times New Roman"/>
        </w:rPr>
      </w:pPr>
      <w:r w:rsidRPr="00B34427">
        <w:rPr>
          <w:rFonts w:ascii="Times New Roman" w:hAnsi="Times New Roman" w:cs="Times New Roman"/>
        </w:rPr>
        <w:t>Rozporządzenie wejdzie w życie po upływie 14 dni od dnia ogłoszenia.</w:t>
      </w:r>
      <w:r w:rsidR="00060675" w:rsidRPr="00B34427">
        <w:rPr>
          <w:rFonts w:ascii="Times New Roman" w:hAnsi="Times New Roman" w:cs="Times New Roman"/>
        </w:rPr>
        <w:t xml:space="preserve"> </w:t>
      </w:r>
    </w:p>
    <w:p w14:paraId="22C70383" w14:textId="77777777" w:rsidR="00B063D7" w:rsidRPr="00B063D7" w:rsidRDefault="00B063D7" w:rsidP="00B063D7"/>
    <w:sectPr w:rsidR="00B063D7" w:rsidRPr="00B0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2"/>
    <w:rsid w:val="00060675"/>
    <w:rsid w:val="000B004A"/>
    <w:rsid w:val="000E775C"/>
    <w:rsid w:val="00117164"/>
    <w:rsid w:val="00140586"/>
    <w:rsid w:val="0015029E"/>
    <w:rsid w:val="00152798"/>
    <w:rsid w:val="00164768"/>
    <w:rsid w:val="001D1095"/>
    <w:rsid w:val="001E6C9B"/>
    <w:rsid w:val="00265974"/>
    <w:rsid w:val="002728E4"/>
    <w:rsid w:val="002A54FA"/>
    <w:rsid w:val="002D5A7D"/>
    <w:rsid w:val="002E6BB9"/>
    <w:rsid w:val="00325A7A"/>
    <w:rsid w:val="004047D9"/>
    <w:rsid w:val="00414C07"/>
    <w:rsid w:val="0043379A"/>
    <w:rsid w:val="00476539"/>
    <w:rsid w:val="004C36AE"/>
    <w:rsid w:val="004E5C24"/>
    <w:rsid w:val="0056465D"/>
    <w:rsid w:val="005A2889"/>
    <w:rsid w:val="005C6F9D"/>
    <w:rsid w:val="005E4339"/>
    <w:rsid w:val="00696CF7"/>
    <w:rsid w:val="0069756A"/>
    <w:rsid w:val="006D42C7"/>
    <w:rsid w:val="0072271C"/>
    <w:rsid w:val="00792F34"/>
    <w:rsid w:val="00812952"/>
    <w:rsid w:val="008739C2"/>
    <w:rsid w:val="00894B70"/>
    <w:rsid w:val="008C3164"/>
    <w:rsid w:val="008D6F8D"/>
    <w:rsid w:val="0099614F"/>
    <w:rsid w:val="009E0F59"/>
    <w:rsid w:val="00A14BFC"/>
    <w:rsid w:val="00A27724"/>
    <w:rsid w:val="00A67B02"/>
    <w:rsid w:val="00A7658C"/>
    <w:rsid w:val="00AF71B8"/>
    <w:rsid w:val="00B063D7"/>
    <w:rsid w:val="00B22BD6"/>
    <w:rsid w:val="00B34427"/>
    <w:rsid w:val="00B367BC"/>
    <w:rsid w:val="00B92D87"/>
    <w:rsid w:val="00BC49F7"/>
    <w:rsid w:val="00C05C61"/>
    <w:rsid w:val="00C448F4"/>
    <w:rsid w:val="00C670BD"/>
    <w:rsid w:val="00CA035B"/>
    <w:rsid w:val="00CC1406"/>
    <w:rsid w:val="00CF765C"/>
    <w:rsid w:val="00D00338"/>
    <w:rsid w:val="00D30328"/>
    <w:rsid w:val="00D400AF"/>
    <w:rsid w:val="00D77FEC"/>
    <w:rsid w:val="00DA0735"/>
    <w:rsid w:val="00E14B95"/>
    <w:rsid w:val="00E364D8"/>
    <w:rsid w:val="00E9575F"/>
    <w:rsid w:val="00EA51ED"/>
    <w:rsid w:val="00F23980"/>
    <w:rsid w:val="00FB3BF1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1C4"/>
  <w15:chartTrackingRefBased/>
  <w15:docId w15:val="{E1C2F8D4-9E13-4BDC-8F50-A2AB210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67B0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styleId="Poprawka">
    <w:name w:val="Revision"/>
    <w:hidden/>
    <w:uiPriority w:val="99"/>
    <w:semiHidden/>
    <w:rsid w:val="00C4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8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8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Stańczuk</dc:creator>
  <cp:keywords/>
  <dc:description/>
  <cp:lastModifiedBy>Ewelina Michałek</cp:lastModifiedBy>
  <cp:revision>2</cp:revision>
  <dcterms:created xsi:type="dcterms:W3CDTF">2023-06-28T06:43:00Z</dcterms:created>
  <dcterms:modified xsi:type="dcterms:W3CDTF">2023-06-28T06:43:00Z</dcterms:modified>
</cp:coreProperties>
</file>