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4D48F1C1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08FB0C3F" w14:textId="77777777" w:rsidR="006A701A" w:rsidRPr="008B4FE6" w:rsidRDefault="006A701A" w:rsidP="00D419E4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2211714E" w14:textId="77777777" w:rsidR="00BC4CE1" w:rsidRDefault="00BC4CE1" w:rsidP="00D419E4">
            <w:pPr>
              <w:spacing w:after="120"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 w:rsidRPr="00BC4CE1">
              <w:rPr>
                <w:rFonts w:ascii="Times New Roman" w:hAnsi="Times New Roman"/>
                <w:color w:val="000000"/>
              </w:rPr>
              <w:t>Rozporządzenie Ministra Infrastruktury zmieniające rozporządzenie</w:t>
            </w:r>
            <w:r w:rsidR="00D419E4">
              <w:rPr>
                <w:rFonts w:ascii="Times New Roman" w:hAnsi="Times New Roman"/>
                <w:color w:val="000000"/>
              </w:rPr>
              <w:br/>
            </w:r>
            <w:r w:rsidRPr="00BC4CE1">
              <w:rPr>
                <w:rFonts w:ascii="Times New Roman" w:hAnsi="Times New Roman"/>
                <w:color w:val="000000"/>
              </w:rPr>
              <w:t>w sprawie substancji szczególnie szkodliwych dla środowiska wodnego oraz warunków, jakie należy spełnić przy wprowadzaniu do wód lub do ziemi ścieków, a także przy odprowadzaniu wód opadowych lub roztopowych do wód lub do urządzeń wodnych</w:t>
            </w:r>
          </w:p>
          <w:p w14:paraId="12347B74" w14:textId="77777777" w:rsidR="006A701A" w:rsidRPr="008B4FE6" w:rsidRDefault="006A701A" w:rsidP="00D419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270DAE0" w14:textId="77777777" w:rsidR="007415D0" w:rsidRDefault="00BC4CE1" w:rsidP="00D419E4">
            <w:pPr>
              <w:spacing w:after="120"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Infrastruktury – wiodące</w:t>
            </w:r>
          </w:p>
          <w:p w14:paraId="3E896CA9" w14:textId="77777777" w:rsidR="001B3460" w:rsidRPr="00642825" w:rsidRDefault="001B3460" w:rsidP="00D419E4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391A6C75" w14:textId="77777777" w:rsidR="00BC4CE1" w:rsidRPr="0063060B" w:rsidRDefault="00BC4CE1" w:rsidP="00D419E4">
            <w:pPr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Marek Gróbarczyk – Sekretarz Stanu w Ministerstwie Infrastruktury</w:t>
            </w:r>
          </w:p>
          <w:p w14:paraId="45BFA5E9" w14:textId="77777777" w:rsidR="006A701A" w:rsidRPr="008B4FE6" w:rsidRDefault="006A701A" w:rsidP="00D419E4">
            <w:pPr>
              <w:spacing w:line="240" w:lineRule="auto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644CBA94" w14:textId="77777777" w:rsidR="00BC4CE1" w:rsidRDefault="00BC4CE1" w:rsidP="00D419E4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Dominik Pietrzak – Główny specjalista</w:t>
            </w:r>
          </w:p>
          <w:p w14:paraId="6E9E9EEC" w14:textId="77777777" w:rsidR="00BC4CE1" w:rsidRDefault="00BC4CE1" w:rsidP="00D419E4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tel.: 22 522 57 62; e-mail: </w:t>
            </w:r>
            <w:hyperlink r:id="rId8" w:history="1">
              <w:r w:rsidRPr="000F0260">
                <w:rPr>
                  <w:rStyle w:val="Hipercze"/>
                  <w:rFonts w:ascii="Times New Roman" w:hAnsi="Times New Roman"/>
                </w:rPr>
                <w:t>Dominik.Pietrzak@mi.gov.pl</w:t>
              </w:r>
            </w:hyperlink>
          </w:p>
          <w:p w14:paraId="5643B7CC" w14:textId="77777777" w:rsidR="00BC4CE1" w:rsidRDefault="00BC4CE1" w:rsidP="00D419E4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Departament Gospodarki Wodnej i Żeglugi Śródlądowej</w:t>
            </w:r>
          </w:p>
          <w:p w14:paraId="7EEEF4E2" w14:textId="77777777" w:rsidR="006A701A" w:rsidRPr="008B4FE6" w:rsidRDefault="00BC4CE1" w:rsidP="006D0720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Infrastruktury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303571E5" w14:textId="145205AF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3-07-12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40A6E">
                  <w:rPr>
                    <w:rFonts w:ascii="Times New Roman" w:hAnsi="Times New Roman"/>
                    <w:sz w:val="21"/>
                    <w:szCs w:val="21"/>
                  </w:rPr>
                  <w:t>12.07.2023</w:t>
                </w:r>
              </w:sdtContent>
            </w:sdt>
          </w:p>
          <w:p w14:paraId="0D5F3855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00DC10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51071AB8" w14:textId="77777777" w:rsidR="00F76884" w:rsidRPr="00EF290C" w:rsidRDefault="00BC4CE1" w:rsidP="00D419E4">
                <w:pPr>
                  <w:spacing w:line="240" w:lineRule="auto"/>
                  <w:jc w:val="both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14:paraId="1898D492" w14:textId="4764299B" w:rsidR="00BA2BB7" w:rsidRPr="003C6C36" w:rsidRDefault="00BC4CE1" w:rsidP="00D419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C6C36">
              <w:rPr>
                <w:rFonts w:ascii="Times New Roman" w:hAnsi="Times New Roman"/>
              </w:rPr>
              <w:t xml:space="preserve">art. 99 ust. 1 </w:t>
            </w:r>
            <w:r w:rsidRPr="002B4C6C">
              <w:rPr>
                <w:rFonts w:ascii="Times New Roman" w:hAnsi="Times New Roman"/>
              </w:rPr>
              <w:t xml:space="preserve">ustawy z dnia 20 lipca 2017 r. – </w:t>
            </w:r>
            <w:r w:rsidRPr="00A40A6E">
              <w:rPr>
                <w:rFonts w:ascii="Times New Roman" w:hAnsi="Times New Roman"/>
              </w:rPr>
              <w:t>Prawo wodne</w:t>
            </w:r>
            <w:r w:rsidRPr="003C6C36">
              <w:rPr>
                <w:rFonts w:ascii="Times New Roman" w:hAnsi="Times New Roman"/>
              </w:rPr>
              <w:t xml:space="preserve"> </w:t>
            </w:r>
            <w:r w:rsidR="00131FE7" w:rsidRPr="0077676C">
              <w:rPr>
                <w:rFonts w:ascii="Times New Roman" w:hAnsi="Times New Roman"/>
              </w:rPr>
              <w:t>(Dz. U. z 2022 r. poz. 2625</w:t>
            </w:r>
            <w:r w:rsidR="0077676C">
              <w:rPr>
                <w:rFonts w:ascii="Times New Roman" w:hAnsi="Times New Roman"/>
              </w:rPr>
              <w:t xml:space="preserve"> </w:t>
            </w:r>
            <w:r w:rsidR="00131FE7" w:rsidRPr="003C6C36">
              <w:rPr>
                <w:rFonts w:ascii="Times New Roman" w:hAnsi="Times New Roman"/>
              </w:rPr>
              <w:t>i 2687 oraz z 2023 r. poz. 295, 412 i 877)</w:t>
            </w:r>
          </w:p>
          <w:p w14:paraId="3A1FA2B5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6AB1C009" w14:textId="77777777" w:rsidR="006A701A" w:rsidRPr="008B4FE6" w:rsidRDefault="006A701A" w:rsidP="006D0720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AB4471">
              <w:rPr>
                <w:rFonts w:ascii="Times New Roman" w:hAnsi="Times New Roman"/>
                <w:b/>
                <w:color w:val="000000"/>
              </w:rPr>
              <w:t>legislacyjnych Ministra Infrastruktury</w:t>
            </w:r>
          </w:p>
          <w:p w14:paraId="402101A5" w14:textId="77777777" w:rsidR="006A701A" w:rsidRPr="008B4FE6" w:rsidRDefault="00B47387" w:rsidP="00B4738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387">
              <w:rPr>
                <w:rFonts w:ascii="Times New Roman" w:hAnsi="Times New Roman"/>
                <w:color w:val="000000"/>
              </w:rPr>
              <w:t>327</w:t>
            </w:r>
          </w:p>
        </w:tc>
      </w:tr>
      <w:tr w:rsidR="006A701A" w:rsidRPr="0022687A" w14:paraId="04A8A27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26F58A7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24EC60C6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46E4225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69C5AA5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B49403B" w14:textId="77777777" w:rsidR="006A701A" w:rsidRDefault="00A60DAB" w:rsidP="006D072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obecnym stanie prawnym brak jest przepisów </w:t>
            </w:r>
            <w:r w:rsidR="00207711">
              <w:rPr>
                <w:rFonts w:ascii="Times New Roman" w:hAnsi="Times New Roman"/>
                <w:color w:val="000000"/>
              </w:rPr>
              <w:t xml:space="preserve">odnoszących się do monitorowania podstawowych parametrów fizyko-chemicznych </w:t>
            </w:r>
            <w:r w:rsidR="00207711" w:rsidRPr="00207711">
              <w:rPr>
                <w:rFonts w:ascii="Times New Roman" w:hAnsi="Times New Roman"/>
                <w:color w:val="000000"/>
              </w:rPr>
              <w:t>wód powierzchniowych</w:t>
            </w:r>
            <w:r w:rsidR="00207711">
              <w:rPr>
                <w:rFonts w:ascii="Times New Roman" w:hAnsi="Times New Roman"/>
                <w:color w:val="000000"/>
              </w:rPr>
              <w:t xml:space="preserve"> oraz ścieków przez emitentów tych ścieków</w:t>
            </w:r>
            <w:r w:rsidR="00207711" w:rsidRPr="00207711">
              <w:rPr>
                <w:rFonts w:ascii="Times New Roman" w:hAnsi="Times New Roman"/>
                <w:color w:val="000000"/>
              </w:rPr>
              <w:t xml:space="preserve">, którym dopuszczono </w:t>
            </w:r>
            <w:r w:rsidR="00207711">
              <w:rPr>
                <w:rFonts w:ascii="Times New Roman" w:hAnsi="Times New Roman"/>
                <w:color w:val="000000"/>
              </w:rPr>
              <w:t xml:space="preserve">w ramach pozwoleń wodnoprawnych </w:t>
            </w:r>
            <w:r w:rsidR="00C20AAE">
              <w:rPr>
                <w:rFonts w:ascii="Times New Roman" w:hAnsi="Times New Roman"/>
                <w:color w:val="000000"/>
              </w:rPr>
              <w:t xml:space="preserve">i pozwoleń zintegrowanych </w:t>
            </w:r>
            <w:r w:rsidR="00207711" w:rsidRPr="00207711">
              <w:rPr>
                <w:rFonts w:ascii="Times New Roman" w:hAnsi="Times New Roman"/>
                <w:color w:val="000000"/>
              </w:rPr>
              <w:t>wzrost sumarycznego stężenia chlorków i siarczanów do wartości większej niż 1000 mg/l</w:t>
            </w:r>
            <w:r w:rsidR="00207711">
              <w:rPr>
                <w:rFonts w:ascii="Times New Roman" w:hAnsi="Times New Roman"/>
                <w:color w:val="000000"/>
              </w:rPr>
              <w:t>.</w:t>
            </w:r>
          </w:p>
          <w:p w14:paraId="6431E907" w14:textId="77777777" w:rsidR="006D0720" w:rsidRPr="00B37C80" w:rsidRDefault="006D0720" w:rsidP="0020771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D0720">
              <w:rPr>
                <w:rFonts w:ascii="Times New Roman" w:hAnsi="Times New Roman"/>
                <w:color w:val="000000"/>
              </w:rPr>
              <w:t xml:space="preserve">W </w:t>
            </w:r>
            <w:r w:rsidR="00181963">
              <w:rPr>
                <w:rFonts w:ascii="Times New Roman" w:hAnsi="Times New Roman"/>
                <w:color w:val="000000"/>
              </w:rPr>
              <w:t>aktualnie</w:t>
            </w:r>
            <w:r w:rsidRPr="006D0720">
              <w:rPr>
                <w:rFonts w:ascii="Times New Roman" w:hAnsi="Times New Roman"/>
                <w:color w:val="000000"/>
              </w:rPr>
              <w:t xml:space="preserve"> obowiązującym brzmieniu rozporządzenia brak jest także regulacji pozwalających określić sposób pobierania próbek do badań w zakresie wskaźników stanu ścieków, tj. temperatury i pH, a także sposób ich oceny</w:t>
            </w:r>
            <w:r w:rsidR="00181963">
              <w:rPr>
                <w:rFonts w:ascii="Times New Roman" w:hAnsi="Times New Roman"/>
                <w:color w:val="000000"/>
              </w:rPr>
              <w:br/>
            </w:r>
            <w:r w:rsidRPr="006D0720">
              <w:rPr>
                <w:rFonts w:ascii="Times New Roman" w:hAnsi="Times New Roman"/>
                <w:color w:val="000000"/>
              </w:rPr>
              <w:t>w ściekach komunalnych stanowiących mieszaninę ścieków bytowych ze ściekami przemysłowymi albo wodami opadowymi lub roztopowymi.</w:t>
            </w:r>
          </w:p>
        </w:tc>
      </w:tr>
      <w:tr w:rsidR="006A701A" w:rsidRPr="008B4FE6" w14:paraId="098D2BA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F242ADC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472FE71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7D0E843" w14:textId="77777777" w:rsidR="006A701A" w:rsidRDefault="00207711" w:rsidP="006D072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 związku z koniecznością </w:t>
            </w:r>
            <w:r w:rsidRPr="00207711">
              <w:rPr>
                <w:rFonts w:ascii="Times New Roman" w:hAnsi="Times New Roman"/>
                <w:color w:val="000000"/>
                <w:spacing w:val="-2"/>
              </w:rPr>
              <w:t>dochowani</w:t>
            </w:r>
            <w:r w:rsidR="006D0720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207711">
              <w:rPr>
                <w:rFonts w:ascii="Times New Roman" w:hAnsi="Times New Roman"/>
                <w:color w:val="000000"/>
                <w:spacing w:val="-2"/>
              </w:rPr>
              <w:t xml:space="preserve"> odpowiednich norm jakości wód powierzchniowych, przewiduje się wprowadzenie rozwiązań prawnych mających na celu monitorowanie w sposób ciągły przez </w:t>
            </w:r>
            <w:r w:rsidR="00FC3745">
              <w:rPr>
                <w:rFonts w:ascii="Times New Roman" w:hAnsi="Times New Roman"/>
                <w:color w:val="000000"/>
                <w:spacing w:val="-2"/>
              </w:rPr>
              <w:t>podmioty</w:t>
            </w:r>
            <w:r w:rsidRPr="00207711">
              <w:rPr>
                <w:rFonts w:ascii="Times New Roman" w:hAnsi="Times New Roman"/>
                <w:color w:val="000000"/>
                <w:spacing w:val="-2"/>
              </w:rPr>
              <w:t>, którym dopuszczono wzrost sumarycznego stężenia chlorków i siarczanów do wartości większej niż 1000 mg/l, podstawowych parametrów tych wód poniżej i powyżej miejsca zrzutu ścieków, jak również jakości ścieków w miejscu ich zrzutu.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07711">
              <w:rPr>
                <w:rFonts w:ascii="Times New Roman" w:hAnsi="Times New Roman"/>
                <w:color w:val="000000"/>
                <w:spacing w:val="-2"/>
              </w:rPr>
              <w:t>Parametry te obejmują przewodność elektrolityczną właściwą, temperaturę, pH oraz tlen rozpuszczony.</w:t>
            </w:r>
          </w:p>
          <w:p w14:paraId="52CCAB60" w14:textId="77777777" w:rsidR="006D0720" w:rsidRDefault="006D0720" w:rsidP="00A40A6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D0720">
              <w:rPr>
                <w:rFonts w:ascii="Times New Roman" w:hAnsi="Times New Roman"/>
                <w:color w:val="000000"/>
                <w:spacing w:val="-2"/>
              </w:rPr>
              <w:t>Ponadto</w:t>
            </w:r>
            <w:r w:rsidR="00906791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6D0720">
              <w:rPr>
                <w:rFonts w:ascii="Times New Roman" w:hAnsi="Times New Roman"/>
                <w:color w:val="000000"/>
                <w:spacing w:val="-2"/>
              </w:rPr>
              <w:t xml:space="preserve"> projekt rozporządzenia wprowadza zmianę polegającą na </w:t>
            </w:r>
            <w:r w:rsidR="00FC3745">
              <w:rPr>
                <w:rFonts w:ascii="Times New Roman" w:hAnsi="Times New Roman"/>
                <w:color w:val="000000"/>
                <w:spacing w:val="-2"/>
              </w:rPr>
              <w:t xml:space="preserve">określeniu </w:t>
            </w:r>
            <w:r w:rsidRPr="006D0720">
              <w:rPr>
                <w:rFonts w:ascii="Times New Roman" w:hAnsi="Times New Roman"/>
                <w:color w:val="000000"/>
                <w:spacing w:val="-2"/>
              </w:rPr>
              <w:t>częstotliwości poboru do badań próbek ścieków</w:t>
            </w:r>
            <w:r w:rsidR="00FC374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D0720">
              <w:rPr>
                <w:rFonts w:ascii="Times New Roman" w:hAnsi="Times New Roman"/>
                <w:color w:val="000000"/>
                <w:spacing w:val="-2"/>
              </w:rPr>
              <w:t xml:space="preserve">w zakresie wskaźników temperatury i pH. </w:t>
            </w:r>
            <w:r>
              <w:rPr>
                <w:rFonts w:ascii="Times New Roman" w:hAnsi="Times New Roman"/>
                <w:color w:val="000000"/>
                <w:spacing w:val="-2"/>
              </w:rPr>
              <w:t>Umożliwi</w:t>
            </w:r>
            <w:r w:rsidRPr="006D0720">
              <w:rPr>
                <w:rFonts w:ascii="Times New Roman" w:hAnsi="Times New Roman"/>
                <w:color w:val="000000"/>
                <w:spacing w:val="-2"/>
              </w:rPr>
              <w:t xml:space="preserve"> to ustalenie dla podmiotów sposobu dokonywania pomiarów</w:t>
            </w:r>
            <w:r w:rsidR="009B3A11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6D0720">
              <w:rPr>
                <w:rFonts w:ascii="Times New Roman" w:hAnsi="Times New Roman"/>
                <w:color w:val="000000"/>
                <w:spacing w:val="-2"/>
              </w:rPr>
              <w:t>w zakresie temperatury i pH, a dla  właściwych organów ocenę, czy ścieki wprowadzane do wód lub do ziemi spełniają wymagania tych wskaźników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FD1BE7D" w14:textId="40351CCF" w:rsidR="00A40A6E" w:rsidRDefault="00A40A6E" w:rsidP="002077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40A6E">
              <w:rPr>
                <w:rFonts w:ascii="Times New Roman" w:hAnsi="Times New Roman"/>
                <w:color w:val="000000"/>
                <w:spacing w:val="-2"/>
              </w:rPr>
              <w:t xml:space="preserve">Oczekiwanym efektem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wprowadzenia zmian w rozporządzeniu </w:t>
            </w:r>
            <w:r w:rsidRPr="00A40A6E">
              <w:rPr>
                <w:rFonts w:ascii="Times New Roman" w:hAnsi="Times New Roman"/>
                <w:color w:val="000000"/>
                <w:spacing w:val="-2"/>
              </w:rPr>
              <w:t xml:space="preserve">jest zwiększenie skuteczności ochrony wód przed niekontrolowanym zrzutem ścieków poprzez monitorowanie w sposób ciągły przez podmioty, którym dopuszczono wzrost sumarycznego stężenia chlorków i siarczanów do wartości większej niż 1000 mg/l, podstawowych parametrów tych wód poniżej i powyżej miejsca zrzutu ścieków, jak również jakości ścieków w miejscu ich zrzutu. Ponadto, oczekuje </w:t>
            </w:r>
            <w:r w:rsidR="00B70C7D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40A6E">
              <w:rPr>
                <w:rFonts w:ascii="Times New Roman" w:hAnsi="Times New Roman"/>
                <w:color w:val="000000"/>
                <w:spacing w:val="-2"/>
              </w:rPr>
              <w:t>się, że określenie częstotliwości poboru do badań próbek ścieków w zakresie wskaźników temperatury i pH umożliwi właściwym organom dokonywanie oceny, czy ścieki wprowadzane do wód lub do ziemi spełniają wymagania tych wskaźników.</w:t>
            </w:r>
          </w:p>
          <w:p w14:paraId="31DD8208" w14:textId="77777777" w:rsidR="00E009BD" w:rsidRDefault="00E009BD" w:rsidP="002077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46AFB19" w14:textId="1765E1C0" w:rsidR="00E009BD" w:rsidRPr="00B37C80" w:rsidRDefault="001D774E" w:rsidP="002077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jest możliwości zastosowania innych rozwiązań niż zmiana obowiązującego rozporządzenia.</w:t>
            </w:r>
            <w:bookmarkStart w:id="3" w:name="_GoBack"/>
            <w:bookmarkEnd w:id="3"/>
          </w:p>
        </w:tc>
      </w:tr>
      <w:tr w:rsidR="006A701A" w:rsidRPr="008B4FE6" w14:paraId="7874B38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3C144AF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C4CE1" w:rsidRPr="008B4FE6" w14:paraId="53F0C42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0194174" w14:textId="77777777" w:rsidR="00BC4CE1" w:rsidRPr="00B37C80" w:rsidRDefault="00926C56" w:rsidP="00BC4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26C56">
              <w:rPr>
                <w:rFonts w:ascii="Times New Roman" w:hAnsi="Times New Roman"/>
                <w:color w:val="000000"/>
                <w:spacing w:val="-2"/>
              </w:rPr>
              <w:t>Ze względu na charakter regulacji odstąpiono od przeprowadzania analizy porównawczej z rozwiązaniami z innych krajów.</w:t>
            </w:r>
          </w:p>
        </w:tc>
      </w:tr>
      <w:tr w:rsidR="00BC4CE1" w:rsidRPr="008B4FE6" w14:paraId="17EE3B59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6A1CACF" w14:textId="77777777" w:rsidR="00BC4CE1" w:rsidRPr="008B4FE6" w:rsidRDefault="00BC4CE1" w:rsidP="00BC4CE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BC4CE1" w:rsidRPr="008B4FE6" w14:paraId="3D21B1E0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9677823" w14:textId="77777777" w:rsidR="00BC4CE1" w:rsidRPr="008B4FE6" w:rsidRDefault="00BC4CE1" w:rsidP="00BC4CE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178900A" w14:textId="77777777" w:rsidR="00BC4CE1" w:rsidRPr="008B4FE6" w:rsidRDefault="00BC4CE1" w:rsidP="00BC4CE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93A8164" w14:textId="77777777" w:rsidR="00BC4CE1" w:rsidRPr="008B4FE6" w:rsidRDefault="00BC4CE1" w:rsidP="00BC4CE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4827DD2" w14:textId="77777777" w:rsidR="00BC4CE1" w:rsidRPr="008B4FE6" w:rsidRDefault="00BC4CE1" w:rsidP="00BC4CE1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BC4CE1" w:rsidRPr="008B4FE6" w14:paraId="20C14FB7" w14:textId="77777777" w:rsidTr="00D419E4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0B1B2A2" w14:textId="77777777" w:rsidR="00BC4CE1" w:rsidRPr="008B4FE6" w:rsidRDefault="00D419E4" w:rsidP="00064E0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P</w:t>
            </w:r>
            <w:r w:rsidR="00BC4CE1" w:rsidRPr="000B2C1C">
              <w:rPr>
                <w:rFonts w:ascii="Times New Roman" w:hAnsi="Times New Roman"/>
              </w:rPr>
              <w:t xml:space="preserve">odmioty </w:t>
            </w:r>
            <w:r w:rsidR="00064E08" w:rsidRPr="00064E08">
              <w:rPr>
                <w:rFonts w:ascii="Times New Roman" w:hAnsi="Times New Roman"/>
              </w:rPr>
              <w:t>wprowadzając</w:t>
            </w:r>
            <w:r w:rsidR="00FC03C2">
              <w:rPr>
                <w:rFonts w:ascii="Times New Roman" w:hAnsi="Times New Roman"/>
              </w:rPr>
              <w:t>e</w:t>
            </w:r>
            <w:r w:rsidR="00064E08" w:rsidRPr="00064E08">
              <w:rPr>
                <w:rFonts w:ascii="Times New Roman" w:hAnsi="Times New Roman"/>
              </w:rPr>
              <w:t xml:space="preserve"> do wód ścieki przemysłowe oraz wody pochodzące z odwodnienia zakładów górniczych o podwyższonym zasoleniu, </w:t>
            </w:r>
            <w:r w:rsidR="00064E08" w:rsidRPr="00064E08">
              <w:rPr>
                <w:rFonts w:ascii="Times New Roman" w:hAnsi="Times New Roman"/>
              </w:rPr>
              <w:lastRenderedPageBreak/>
              <w:t>zlokalizowane w dorzeczu Odry i Wisły</w:t>
            </w:r>
            <w:r w:rsidR="00C37C1F">
              <w:rPr>
                <w:rFonts w:ascii="Times New Roman" w:hAnsi="Times New Roman"/>
              </w:rPr>
              <w:t>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C1EC153" w14:textId="77777777" w:rsidR="00BC4CE1" w:rsidRPr="00B37C80" w:rsidRDefault="00662C09" w:rsidP="00D419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29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2EB6A23" w14:textId="77777777" w:rsidR="00BC4CE1" w:rsidRPr="00B37C80" w:rsidRDefault="00D419E4" w:rsidP="009B3A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Państwowe Gospodarstwo Wodne Wody Polskie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C53AA84" w14:textId="77777777" w:rsidR="00BC4CE1" w:rsidRPr="00B37C80" w:rsidRDefault="00D419E4" w:rsidP="00BC4C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Wyposażenie w odpowiednie urządzenia oraz systemy do pomiaru parametrów podstawowych</w:t>
            </w:r>
            <w:r w:rsidR="00C37C1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D0720" w:rsidRPr="008B4FE6" w14:paraId="499A6103" w14:textId="77777777" w:rsidTr="00D419E4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31BD714" w14:textId="77777777" w:rsidR="006D0720" w:rsidRDefault="00404879" w:rsidP="00064E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Podmioty wprowadzające do wód lub do ziemi ścieki przemysłowe, ścieki zbliżone </w:t>
            </w:r>
            <w:r w:rsidRPr="00404879">
              <w:rPr>
                <w:rFonts w:ascii="Times New Roman" w:hAnsi="Times New Roman"/>
              </w:rPr>
              <w:t>składem do ścieków przemysłowych</w:t>
            </w:r>
            <w:r>
              <w:rPr>
                <w:rFonts w:ascii="Times New Roman" w:hAnsi="Times New Roman"/>
              </w:rPr>
              <w:t xml:space="preserve"> lub ścieki</w:t>
            </w:r>
            <w:r w:rsidRPr="00404879">
              <w:rPr>
                <w:rFonts w:ascii="Times New Roman" w:hAnsi="Times New Roman"/>
              </w:rPr>
              <w:t xml:space="preserve"> bytowe oraz ścieki komunalne z aglomeracji oczyszczane w oczyszczalni ścieków przemysłowych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E16EB90" w14:textId="77777777" w:rsidR="006D0720" w:rsidRDefault="00404879" w:rsidP="0040487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 trudna do oszacowania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057D039" w14:textId="77777777" w:rsidR="006D0720" w:rsidRDefault="00404879" w:rsidP="0040487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3DBFD8A" w14:textId="77777777" w:rsidR="006D0720" w:rsidRDefault="009B3A11" w:rsidP="00BC4C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Doprecyzowanie</w:t>
            </w:r>
            <w:r w:rsidR="00C20AAE">
              <w:rPr>
                <w:rFonts w:ascii="Times New Roman" w:hAnsi="Times New Roman"/>
                <w:color w:val="000000"/>
                <w:spacing w:val="-2"/>
              </w:rPr>
              <w:t xml:space="preserve"> kwestii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B3A11">
              <w:rPr>
                <w:rFonts w:ascii="Times New Roman" w:hAnsi="Times New Roman"/>
                <w:color w:val="000000"/>
                <w:spacing w:val="-2"/>
              </w:rPr>
              <w:t>częstotliwości poboru do badań próbek ścieków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B3A11">
              <w:rPr>
                <w:rFonts w:ascii="Times New Roman" w:hAnsi="Times New Roman"/>
                <w:color w:val="000000"/>
                <w:spacing w:val="-2"/>
              </w:rPr>
              <w:t>w zakresie wskaźników temperatury i pH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BC4CE1" w:rsidRPr="008B4FE6" w14:paraId="0BAFFAAC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2888DAD" w14:textId="77777777" w:rsidR="00BC4CE1" w:rsidRPr="008B4FE6" w:rsidRDefault="00BC4CE1" w:rsidP="00BC4CE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BC4CE1" w:rsidRPr="008B4FE6" w14:paraId="32E36D3B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79303D45" w14:textId="6025388B" w:rsidR="00064E08" w:rsidRPr="00E4567A" w:rsidRDefault="00064E08" w:rsidP="003763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</w:t>
            </w:r>
            <w:r w:rsidR="00735CCA">
              <w:rPr>
                <w:rFonts w:ascii="Times New Roman" w:hAnsi="Times New Roman"/>
                <w:color w:val="000000"/>
                <w:spacing w:val="-2"/>
              </w:rPr>
              <w:t xml:space="preserve"> rozporządzenia</w:t>
            </w:r>
            <w:r w:rsidRPr="00E4567A">
              <w:rPr>
                <w:rFonts w:ascii="Times New Roman" w:hAnsi="Times New Roman"/>
                <w:color w:val="000000"/>
                <w:spacing w:val="-2"/>
              </w:rPr>
              <w:t xml:space="preserve">, zgodnie z art. 5 ustawy z dnia 7 lipca 2005 r. </w:t>
            </w:r>
            <w:r w:rsidRPr="00870A0E">
              <w:rPr>
                <w:rFonts w:ascii="Times New Roman" w:hAnsi="Times New Roman"/>
                <w:color w:val="000000"/>
                <w:spacing w:val="-2"/>
              </w:rPr>
              <w:t>o działalności lobbingowej w procesie stanowienia prawa</w:t>
            </w:r>
            <w:r w:rsidRPr="00E4567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0050DE">
              <w:rPr>
                <w:rFonts w:ascii="Times New Roman" w:hAnsi="Times New Roman"/>
                <w:color w:val="000000"/>
                <w:spacing w:val="-2"/>
              </w:rPr>
              <w:t>(Dz. U.</w:t>
            </w:r>
            <w:r w:rsidR="00870A0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0050DE">
              <w:rPr>
                <w:rFonts w:ascii="Times New Roman" w:hAnsi="Times New Roman"/>
                <w:color w:val="000000"/>
                <w:spacing w:val="-2"/>
              </w:rPr>
              <w:t xml:space="preserve">z 2017 r. poz. 248) </w:t>
            </w:r>
            <w:r w:rsidRPr="002A78E9">
              <w:rPr>
                <w:rFonts w:ascii="Times New Roman" w:hAnsi="Times New Roman"/>
                <w:color w:val="000000"/>
                <w:spacing w:val="-2"/>
              </w:rPr>
              <w:t xml:space="preserve">i § 52 uchwały nr 190 Rady Ministrów z dnia 29 października 2013 r. – </w:t>
            </w:r>
            <w:r w:rsidRPr="00870A0E">
              <w:rPr>
                <w:rFonts w:ascii="Times New Roman" w:hAnsi="Times New Roman"/>
                <w:color w:val="000000"/>
                <w:spacing w:val="-2"/>
              </w:rPr>
              <w:t>Regulamin pracy Rady Ministrów</w:t>
            </w:r>
            <w:r w:rsidRPr="00E4567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0050DE">
              <w:rPr>
                <w:rFonts w:ascii="Times New Roman" w:hAnsi="Times New Roman"/>
                <w:color w:val="000000"/>
                <w:spacing w:val="-2"/>
              </w:rPr>
              <w:t>(M.P. z 2022 r. poz. 348), zostanie udostępniony w Biuletynie Informacji Publicznej, na stronie podmiotowej Rządowego Centrum Legislacji, w serwisie Rządowy Proces Legislacyjny.</w:t>
            </w:r>
          </w:p>
          <w:p w14:paraId="4AAB8763" w14:textId="77777777" w:rsidR="00926C56" w:rsidRDefault="00926C56" w:rsidP="003763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26C56">
              <w:rPr>
                <w:rFonts w:ascii="Times New Roman" w:hAnsi="Times New Roman"/>
                <w:color w:val="000000"/>
                <w:spacing w:val="-2"/>
              </w:rPr>
              <w:t>Projekt rozporządzenia zosta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926C56">
              <w:rPr>
                <w:rFonts w:ascii="Times New Roman" w:hAnsi="Times New Roman"/>
                <w:color w:val="000000"/>
                <w:spacing w:val="-2"/>
              </w:rPr>
              <w:t xml:space="preserve"> przekazany do uzgodnień międzyresortowych.</w:t>
            </w:r>
          </w:p>
          <w:p w14:paraId="3175BC9A" w14:textId="77777777" w:rsidR="00064E08" w:rsidRPr="002618AD" w:rsidRDefault="00064E08" w:rsidP="00FC03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Przedmiotowy projekt </w:t>
            </w:r>
            <w:r w:rsidR="00926C56">
              <w:rPr>
                <w:rFonts w:ascii="Times New Roman" w:hAnsi="Times New Roman"/>
                <w:color w:val="000000"/>
                <w:spacing w:val="-2"/>
              </w:rPr>
              <w:t>rozporządzenia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zosta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poddany konsultacjom </w:t>
            </w:r>
            <w:r>
              <w:rPr>
                <w:rFonts w:ascii="Times New Roman" w:hAnsi="Times New Roman"/>
                <w:color w:val="000000"/>
                <w:spacing w:val="-2"/>
              </w:rPr>
              <w:t>publicznym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z następującymi instytucjami:</w:t>
            </w:r>
          </w:p>
          <w:p w14:paraId="0CD13F68" w14:textId="6B1C16DB" w:rsidR="00FC03C2" w:rsidRDefault="00FC03C2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Federacja Regionalnych Związków Gmin i Powiatów RP;</w:t>
            </w:r>
          </w:p>
          <w:p w14:paraId="527A3BFE" w14:textId="03F88202" w:rsidR="00B86DC4" w:rsidRPr="00AB4471" w:rsidRDefault="00B86DC4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86DC4">
              <w:rPr>
                <w:rFonts w:ascii="Times New Roman" w:hAnsi="Times New Roman"/>
                <w:spacing w:val="-2"/>
              </w:rPr>
              <w:t>Forum Związków Zawodowych;</w:t>
            </w:r>
          </w:p>
          <w:p w14:paraId="365C567E" w14:textId="6E3C6D36" w:rsidR="00AB4471" w:rsidRPr="00AB4471" w:rsidRDefault="00AB4471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Fundacja WWF Polska;</w:t>
            </w:r>
          </w:p>
          <w:p w14:paraId="0F6EE3BD" w14:textId="1F369BB1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Instytut na Rzecz Ekorozwoju;</w:t>
            </w:r>
          </w:p>
          <w:p w14:paraId="2C237379" w14:textId="4570A676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Izba Gospodarcza „Wodociągi Polskie”;</w:t>
            </w:r>
          </w:p>
          <w:p w14:paraId="6711AA11" w14:textId="067E3A4B" w:rsidR="00AB4471" w:rsidRPr="00AB4471" w:rsidRDefault="00AB4471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Klub Przyrodników;</w:t>
            </w:r>
          </w:p>
          <w:p w14:paraId="2BB64876" w14:textId="105DB26F" w:rsidR="00AB4471" w:rsidRPr="00AB4471" w:rsidRDefault="00AB4471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Konfederacja Lewiatan</w:t>
            </w:r>
            <w:r w:rsidR="000050DE">
              <w:rPr>
                <w:rFonts w:ascii="Times New Roman" w:hAnsi="Times New Roman"/>
                <w:spacing w:val="-2"/>
              </w:rPr>
              <w:t>;</w:t>
            </w:r>
          </w:p>
          <w:p w14:paraId="0B069B21" w14:textId="1F9A1D3E" w:rsidR="00064E08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Krajowa Izba Gospodarcza;</w:t>
            </w:r>
          </w:p>
          <w:p w14:paraId="177A06AD" w14:textId="70C5F58E" w:rsidR="00B86DC4" w:rsidRDefault="00B86DC4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86DC4">
              <w:rPr>
                <w:rFonts w:ascii="Times New Roman" w:hAnsi="Times New Roman"/>
                <w:spacing w:val="-2"/>
              </w:rPr>
              <w:t>Niezależny Samorządny Związek Zawodowy „Solidarność”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14:paraId="3F5ECB7A" w14:textId="09EFF9B4" w:rsidR="00B86DC4" w:rsidRPr="00AB4471" w:rsidRDefault="00B86DC4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86DC4">
              <w:rPr>
                <w:rFonts w:ascii="Times New Roman" w:hAnsi="Times New Roman"/>
                <w:spacing w:val="-2"/>
              </w:rPr>
              <w:t>Ogólnopolskie Porozumienie Związków Zawodowych;</w:t>
            </w:r>
          </w:p>
          <w:p w14:paraId="32B0DCBD" w14:textId="35991134" w:rsidR="00CA585B" w:rsidRPr="00AB4471" w:rsidRDefault="00CA585B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Polska Izba Ekologii</w:t>
            </w:r>
            <w:r w:rsidR="00FC03C2" w:rsidRPr="00AB4471">
              <w:rPr>
                <w:rFonts w:ascii="Times New Roman" w:hAnsi="Times New Roman"/>
                <w:spacing w:val="-2"/>
              </w:rPr>
              <w:t>;</w:t>
            </w:r>
          </w:p>
          <w:p w14:paraId="46111B32" w14:textId="47B8E4BC" w:rsidR="00AB4471" w:rsidRPr="00AB4471" w:rsidRDefault="00AB4471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Polskie Towarzystwo Gospodarcze;</w:t>
            </w:r>
          </w:p>
          <w:p w14:paraId="194D3385" w14:textId="7CE91C0C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Polskie Zrzeszenie Inżynierów i Techników Sanitarnych;</w:t>
            </w:r>
          </w:p>
          <w:p w14:paraId="41BE2D70" w14:textId="56947318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Stowarzyszenie Eksploatatorów Obiektów Gospodarki Wodno-Ściekowej;</w:t>
            </w:r>
          </w:p>
          <w:p w14:paraId="37E1FD67" w14:textId="42182DA3" w:rsidR="00CA585B" w:rsidRPr="00AB4471" w:rsidRDefault="00CA585B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Stowarzyszenie Inżynierów i Techników Wodnych i Melioracyjnych;</w:t>
            </w:r>
          </w:p>
          <w:p w14:paraId="73C3187B" w14:textId="526BFE57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 xml:space="preserve">Związek Pracodawców Business Centre Club; </w:t>
            </w:r>
          </w:p>
          <w:p w14:paraId="1E8F0C24" w14:textId="426A5F57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Przedsiębiorców i Pracodawców;</w:t>
            </w:r>
          </w:p>
          <w:p w14:paraId="70D17274" w14:textId="05D85F8E" w:rsidR="00064E08" w:rsidRPr="00AB4471" w:rsidRDefault="00064E08" w:rsidP="005C3338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Gmin Wiejskich Rzeczypospolitej Polskiej;</w:t>
            </w:r>
          </w:p>
          <w:p w14:paraId="2E20C0E1" w14:textId="58D680FC" w:rsidR="00064E08" w:rsidRPr="00AB4471" w:rsidRDefault="00064E08" w:rsidP="005C3338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Miast Polskich;</w:t>
            </w:r>
          </w:p>
          <w:p w14:paraId="39945194" w14:textId="381F1871" w:rsidR="00064E08" w:rsidRPr="00AB4471" w:rsidRDefault="00064E08" w:rsidP="005C3338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Powiatów Polskich;</w:t>
            </w:r>
          </w:p>
          <w:p w14:paraId="0A0A6C71" w14:textId="4CAA69D2" w:rsidR="00064E08" w:rsidRPr="00AB4471" w:rsidRDefault="00064E08" w:rsidP="005C3338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Samorządów Polskich;</w:t>
            </w:r>
          </w:p>
          <w:p w14:paraId="4CEEDE14" w14:textId="1DAB9DD6" w:rsidR="00064E08" w:rsidRPr="00AB4471" w:rsidRDefault="00064E08" w:rsidP="005C3338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B4471">
              <w:rPr>
                <w:rFonts w:ascii="Times New Roman" w:hAnsi="Times New Roman"/>
                <w:spacing w:val="-2"/>
              </w:rPr>
              <w:t>Związek Województw RP</w:t>
            </w:r>
            <w:r w:rsidR="002A78E9">
              <w:rPr>
                <w:rFonts w:ascii="Times New Roman" w:hAnsi="Times New Roman"/>
                <w:spacing w:val="-2"/>
              </w:rPr>
              <w:t>.</w:t>
            </w:r>
          </w:p>
          <w:p w14:paraId="02CA737F" w14:textId="77777777" w:rsidR="00CA585B" w:rsidRDefault="00CA585B" w:rsidP="00FC03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Przedmiotowy projekt </w:t>
            </w:r>
            <w:r w:rsidR="00926C56">
              <w:rPr>
                <w:rFonts w:ascii="Times New Roman" w:hAnsi="Times New Roman"/>
                <w:color w:val="000000"/>
                <w:spacing w:val="-2"/>
              </w:rPr>
              <w:t>rozporządzenia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zosta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poddany </w:t>
            </w:r>
            <w:r>
              <w:rPr>
                <w:rFonts w:ascii="Times New Roman" w:hAnsi="Times New Roman"/>
                <w:color w:val="000000"/>
                <w:spacing w:val="-2"/>
              </w:rPr>
              <w:t>opiniowaniu</w:t>
            </w:r>
            <w:r w:rsidRPr="002618AD">
              <w:rPr>
                <w:rFonts w:ascii="Times New Roman" w:hAnsi="Times New Roman"/>
                <w:color w:val="000000"/>
                <w:spacing w:val="-2"/>
              </w:rPr>
              <w:t xml:space="preserve"> z następującymi instytucjami:</w:t>
            </w:r>
          </w:p>
          <w:p w14:paraId="2BBD7487" w14:textId="41048E9A" w:rsidR="00CA585B" w:rsidRP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Generalna Dyrekcja Ochrony Środowiska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E2C2B06" w14:textId="2898BEA4" w:rsidR="00CA585B" w:rsidRP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Główny Inspektorat Ochrony Środowiska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F7B56B4" w14:textId="06D65F0A" w:rsid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Główny Inspektorat Sanitarny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9BA02D8" w14:textId="6908C4B8" w:rsid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Instytut Ochrony Środowiska – Państwowy Instytut Badawczy;</w:t>
            </w:r>
          </w:p>
          <w:p w14:paraId="500BEEEF" w14:textId="26A4DD8A" w:rsidR="00AB4471" w:rsidRPr="00CA585B" w:rsidRDefault="00AB4471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4471">
              <w:rPr>
                <w:rFonts w:ascii="Times New Roman" w:hAnsi="Times New Roman"/>
                <w:color w:val="000000"/>
                <w:spacing w:val="-2"/>
              </w:rPr>
              <w:t xml:space="preserve">Instytut Rybactwa Śródlądowego </w:t>
            </w:r>
            <w:r w:rsidRPr="00CA585B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AB4471">
              <w:rPr>
                <w:rFonts w:ascii="Times New Roman" w:hAnsi="Times New Roman"/>
                <w:color w:val="000000"/>
                <w:spacing w:val="-2"/>
              </w:rPr>
              <w:t xml:space="preserve"> Państwowy Instytut Badawczy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74DA3830" w14:textId="1DD3C1B0" w:rsidR="00CA585B" w:rsidRP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Narodowy Fundusz Ochrony Środowiska i Gospodarki Wodnej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72AA82D2" w14:textId="5FBA4C82" w:rsidR="005C3338" w:rsidRPr="00FC3745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C3338">
              <w:rPr>
                <w:rFonts w:ascii="Times New Roman" w:hAnsi="Times New Roman"/>
                <w:color w:val="000000"/>
                <w:spacing w:val="-2"/>
              </w:rPr>
              <w:t>Państwowe Gospodarstwo Wodne Wody Polskie;</w:t>
            </w:r>
          </w:p>
          <w:p w14:paraId="12699606" w14:textId="091613B0" w:rsidR="00FC3745" w:rsidRPr="005C3338" w:rsidRDefault="00FC3745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C3745">
              <w:rPr>
                <w:rFonts w:ascii="Times New Roman" w:hAnsi="Times New Roman"/>
                <w:spacing w:val="-2"/>
              </w:rPr>
              <w:t>Prokuratoria Generalna Rzeczypospolitej Polskiej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14:paraId="77AD0EA9" w14:textId="5ECA79B5" w:rsidR="005C3338" w:rsidRPr="005C3338" w:rsidRDefault="005C3338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C3338">
              <w:rPr>
                <w:rFonts w:ascii="Times New Roman" w:hAnsi="Times New Roman"/>
                <w:spacing w:val="-2"/>
              </w:rPr>
              <w:t>Rzecznik Małych i Średnich Przedsiębiorców;</w:t>
            </w:r>
          </w:p>
          <w:p w14:paraId="45186939" w14:textId="18ABF69D" w:rsidR="00CA585B" w:rsidRP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Urząd Ochrony Konkurencji i Konsumentów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489850D" w14:textId="1820A10E" w:rsidR="00CA585B" w:rsidRPr="00CA585B" w:rsidRDefault="00CA585B" w:rsidP="005C3338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A585B">
              <w:rPr>
                <w:rFonts w:ascii="Times New Roman" w:hAnsi="Times New Roman"/>
                <w:color w:val="000000"/>
                <w:spacing w:val="-2"/>
              </w:rPr>
              <w:t>Wojewódzkie inspektoraty ochrony środowiska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3AC2194B" w14:textId="77777777" w:rsidR="00064E08" w:rsidRPr="002171C3" w:rsidRDefault="00064E08" w:rsidP="003763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25C2F">
              <w:rPr>
                <w:rFonts w:ascii="Times New Roman" w:hAnsi="Times New Roman"/>
                <w:color w:val="000000"/>
                <w:spacing w:val="-2"/>
              </w:rPr>
              <w:t>Projekt rozporządzenia będzie podlegał opiniowaniu przez Komisję Wspólną Rządu i Samorządu Terytorialnego, ponieważ dotyczy spraw związanych z samorządem terytorialnym, o których mowa w art. 3 pkt 1 i 3 ustawy z d</w:t>
            </w:r>
            <w:r w:rsidRPr="002171C3">
              <w:rPr>
                <w:rFonts w:ascii="Times New Roman" w:hAnsi="Times New Roman"/>
                <w:color w:val="000000"/>
                <w:spacing w:val="-2"/>
              </w:rPr>
              <w:t>nia 6 maja 2005 r.</w:t>
            </w:r>
            <w:r w:rsidRPr="002171C3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870A0E">
              <w:rPr>
                <w:rFonts w:ascii="Times New Roman" w:hAnsi="Times New Roman"/>
                <w:color w:val="000000"/>
                <w:spacing w:val="-2"/>
              </w:rPr>
              <w:t>o Komisji Wspólnej Rządu i Samorządu Terytorialnego oraz o przedstawicielach Rzeczypospolitej Polskiej w Komitecie Regionów Unii Europejskiej</w:t>
            </w:r>
            <w:r w:rsidRPr="00725C2F">
              <w:rPr>
                <w:rFonts w:ascii="Times New Roman" w:hAnsi="Times New Roman"/>
                <w:color w:val="000000"/>
                <w:spacing w:val="-2"/>
              </w:rPr>
              <w:t xml:space="preserve"> (Dz. U. poz. 759).</w:t>
            </w:r>
          </w:p>
          <w:p w14:paraId="4351165B" w14:textId="36CF5C85" w:rsidR="00064E08" w:rsidRPr="000A4721" w:rsidRDefault="00064E08" w:rsidP="003763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A4721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Projekt rozporządzenia nie dotyczy spraw, o których mowa w art. 1 ustawy z dnia 24 lipca 2015 r. </w:t>
            </w:r>
            <w:r w:rsidRPr="00870A0E">
              <w:rPr>
                <w:rFonts w:ascii="Times New Roman" w:hAnsi="Times New Roman"/>
                <w:color w:val="000000"/>
                <w:spacing w:val="-2"/>
              </w:rPr>
              <w:t>o Radzie Dialogu Społecznego i innych instytucji dialogu społecznego</w:t>
            </w:r>
            <w:r w:rsidRPr="00725C2F">
              <w:rPr>
                <w:rFonts w:ascii="Times New Roman" w:hAnsi="Times New Roman"/>
                <w:color w:val="000000"/>
                <w:spacing w:val="-2"/>
              </w:rPr>
              <w:t xml:space="preserve"> (Dz. U. z 2018 r. poz. 2232, </w:t>
            </w:r>
            <w:r w:rsidR="000A4721">
              <w:rPr>
                <w:rFonts w:ascii="Times New Roman" w:hAnsi="Times New Roman"/>
                <w:color w:val="000000"/>
                <w:spacing w:val="-2"/>
              </w:rPr>
              <w:t xml:space="preserve">z 2020 r. poz. 568, 2157 i 2445 oraz </w:t>
            </w:r>
            <w:r w:rsidR="00252228">
              <w:rPr>
                <w:rFonts w:ascii="Times New Roman" w:hAnsi="Times New Roman"/>
                <w:color w:val="000000"/>
                <w:spacing w:val="-2"/>
              </w:rPr>
              <w:t xml:space="preserve">                                 </w:t>
            </w:r>
            <w:r w:rsidR="000A4721">
              <w:rPr>
                <w:rFonts w:ascii="Times New Roman" w:hAnsi="Times New Roman"/>
                <w:color w:val="000000"/>
                <w:spacing w:val="-2"/>
              </w:rPr>
              <w:t xml:space="preserve">z 2022 r. poz. 2666 </w:t>
            </w:r>
            <w:r w:rsidRPr="00725C2F">
              <w:rPr>
                <w:rFonts w:ascii="Times New Roman" w:hAnsi="Times New Roman"/>
                <w:color w:val="000000"/>
                <w:spacing w:val="-2"/>
              </w:rPr>
              <w:t>), wobec czego nie wymaga zaopiniowania przez Radę</w:t>
            </w:r>
            <w:r w:rsidRPr="002171C3">
              <w:rPr>
                <w:rFonts w:ascii="Times New Roman" w:hAnsi="Times New Roman"/>
                <w:color w:val="000000"/>
                <w:spacing w:val="-2"/>
              </w:rPr>
              <w:t xml:space="preserve"> Dialogu Społecznego.</w:t>
            </w:r>
          </w:p>
          <w:p w14:paraId="18D37F2C" w14:textId="77777777" w:rsidR="00064E08" w:rsidRPr="00B73A24" w:rsidRDefault="00064E08" w:rsidP="003763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A0E7D">
              <w:rPr>
                <w:rFonts w:ascii="Times New Roman" w:hAnsi="Times New Roman"/>
                <w:color w:val="000000"/>
                <w:spacing w:val="-2"/>
              </w:rPr>
              <w:t>Projekt rozporządzenia nie będzie wymagał przedstawienia właściwym instytucjom i organom Unii Europejskiej, w tym Europejskiemu Bankowi Centralnemu, celem uzyskania opinii, dokonania powiadomienia, konsultacji albo uzgodnienia projekt</w:t>
            </w:r>
            <w:r w:rsidRPr="00725C2F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B73A24">
              <w:rPr>
                <w:rFonts w:ascii="Times New Roman" w:hAnsi="Times New Roman"/>
                <w:color w:val="000000"/>
                <w:spacing w:val="-2"/>
              </w:rPr>
              <w:t xml:space="preserve"> rozporządzenia</w:t>
            </w:r>
            <w:r w:rsidRPr="00B73A2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4C273DC" w14:textId="77777777" w:rsidR="00BC4CE1" w:rsidRPr="00B37C80" w:rsidRDefault="00064E08" w:rsidP="00DF17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25C2F">
              <w:rPr>
                <w:rFonts w:ascii="Times New Roman" w:hAnsi="Times New Roman"/>
                <w:color w:val="000000"/>
                <w:spacing w:val="-2"/>
              </w:rPr>
              <w:t>Wyniki opiniowania i konsultacji publicznych zostaną omówione w raporcie z opiniowania i konsultacji publicznych, który zostanie  udostępniony na stronie Rządowego Centrum Legislacji, w zakładce Rządowy Proces Legislacyjny.</w:t>
            </w:r>
          </w:p>
        </w:tc>
      </w:tr>
      <w:tr w:rsidR="00BC4CE1" w:rsidRPr="008B4FE6" w14:paraId="54FE2281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9E22DA6" w14:textId="77777777" w:rsidR="00BC4CE1" w:rsidRPr="008B4FE6" w:rsidRDefault="00BC4CE1" w:rsidP="00BC4CE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BC4CE1" w:rsidRPr="008B4FE6" w14:paraId="25B3BCE4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347E899A" w14:textId="77777777" w:rsidR="00BC4CE1" w:rsidRPr="00C53F26" w:rsidRDefault="00BC4CE1" w:rsidP="00BC4CE1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 w:rsidR="00B86DC4">
              <w:rPr>
                <w:rFonts w:ascii="Times New Roman" w:hAnsi="Times New Roman"/>
                <w:color w:val="000000"/>
                <w:sz w:val="21"/>
                <w:szCs w:val="21"/>
              </w:rPr>
              <w:t>2023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7571B182" w14:textId="77777777" w:rsidR="00BC4CE1" w:rsidRPr="00C53F26" w:rsidRDefault="00BC4CE1" w:rsidP="00BC4CE1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BC4CE1" w:rsidRPr="008B4FE6" w14:paraId="0AC86B8B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B62499F" w14:textId="77777777" w:rsidR="00BC4CE1" w:rsidRPr="00C53F26" w:rsidRDefault="00BC4CE1" w:rsidP="00BC4CE1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4AF4DF4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4E406A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09F3E1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DDDE29D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4BA61B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15304A6E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8A411BC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94946D8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2F9587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881358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E5ACC64" w14:textId="77777777" w:rsidR="00BC4CE1" w:rsidRPr="00C53F26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7C6005B8" w14:textId="77777777" w:rsidR="00BC4CE1" w:rsidRPr="00C53F26" w:rsidRDefault="00BC4CE1" w:rsidP="00BC4CE1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CA585B" w:rsidRPr="008B4FE6" w14:paraId="214D25A2" w14:textId="77777777" w:rsidTr="00BB3EE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D2652C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380333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83A4E0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FCF419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D145E2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16BDFC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27462D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60140C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91DF3C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D1CB2B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101DA06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F15D81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40FE83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796411F2" w14:textId="77777777" w:rsidTr="00BB3EE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7A9779E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B5EB1F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DEABE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B75557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F5DB2C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8A0DE8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84BCA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546189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D29AB4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29D7206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D2C544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8AA0AA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3E66660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5E0B19EB" w14:textId="77777777" w:rsidTr="00BB3EE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F116C19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A6CC63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9FDCCC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8A4E39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8BC5C7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34330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69729D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02C750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49213D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30FDC7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289DEB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E327E6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62291B5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1D9DB8F4" w14:textId="77777777" w:rsidTr="00BB3EE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AEE3E7C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0E00D6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E6E6FF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CB6C1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FFEA21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9E4B1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1B3844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EE75AB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C90B33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37310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5F8A7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24EE8C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845821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343A5F99" w14:textId="77777777" w:rsidTr="00BB3EEB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CD2C73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82F206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F9F29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9DC846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BCFBBA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B5DFE6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FF4C8D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CC9FF2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C4F531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A3368D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14A68A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9ED43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6E404F9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0FC994A9" w14:textId="77777777" w:rsidTr="00BB3EEB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724148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03F32A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884102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32D6F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26DE1D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C7E486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3AC79F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ACF33A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9FD2F02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01597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D2CA5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A8E20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9F38F3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76D7A2D0" w14:textId="77777777" w:rsidTr="00BB3EEB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358D80F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26587E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C1C45B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3AB8DA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765B8B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46B891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76031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660EF0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FBFCF4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C80369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DBBA15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22A4A86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B79B31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4F126787" w14:textId="77777777" w:rsidTr="00BB3EEB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98DFE46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7608EE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E564A91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F778E0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8910F1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FFCD00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0C675B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89FA68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FC4853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36CE8C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E9E7C3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11136E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5C7351B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220B8F21" w14:textId="77777777" w:rsidTr="00BB3EEB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1A953D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6DC0DE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0EB22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D594C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DBA685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42CD92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4D5116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D09CBE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BE01FD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031E9B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E032A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03FF6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456A820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77E4DAC9" w14:textId="77777777" w:rsidTr="00BB3EEB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7EA222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51EAE3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0E7935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74C9816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732F7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F0361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3586FDE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2C86B1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DC2451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0E0C852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A7190C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1CD36B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38B7A29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1EDC5095" w14:textId="77777777" w:rsidTr="00BB3EE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1AA4BC1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D28F2F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6FDF55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7BA4EB2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169C3B3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1859D5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DF2015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82A9F0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622C3F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EC4325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7CC377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79378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5554520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CA585B" w:rsidRPr="008B4FE6" w14:paraId="29C74C1B" w14:textId="77777777" w:rsidTr="00BB3EE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0C1CC7" w14:textId="77777777" w:rsidR="00CA585B" w:rsidRPr="00C53F26" w:rsidRDefault="00CA585B" w:rsidP="00CA585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CB8BE0F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600F08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E2D679D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EECFDB4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4CDAC0B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4E110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AF08DD0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97D5507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833E009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2681B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54B88D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0DCDC33A" w14:textId="77777777" w:rsidR="00CA585B" w:rsidRDefault="00CA585B" w:rsidP="00BB3EEB">
            <w:pPr>
              <w:jc w:val="center"/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BC4CE1" w:rsidRPr="008B4FE6" w14:paraId="4ADC0225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DBF7EF3" w14:textId="77777777" w:rsidR="00BC4CE1" w:rsidRPr="00C53F26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67613A3" w14:textId="77777777" w:rsidR="00BC4CE1" w:rsidRPr="00B37C80" w:rsidRDefault="00FC03C2" w:rsidP="00BC4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Nie dotyczy.</w:t>
            </w:r>
          </w:p>
        </w:tc>
      </w:tr>
      <w:tr w:rsidR="00BC4CE1" w:rsidRPr="008B4FE6" w14:paraId="41336BC4" w14:textId="77777777" w:rsidTr="00FC03C2">
        <w:trPr>
          <w:gridAfter w:val="1"/>
          <w:wAfter w:w="10" w:type="dxa"/>
          <w:trHeight w:val="1061"/>
        </w:trPr>
        <w:tc>
          <w:tcPr>
            <w:tcW w:w="2243" w:type="dxa"/>
            <w:gridSpan w:val="2"/>
            <w:shd w:val="clear" w:color="auto" w:fill="FFFFFF"/>
          </w:tcPr>
          <w:p w14:paraId="754B2C8A" w14:textId="77777777" w:rsidR="00BC4CE1" w:rsidRPr="00C53F26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FF8A7F0" w14:textId="77777777" w:rsidR="00BC4CE1" w:rsidRPr="005C3338" w:rsidRDefault="00FC03C2" w:rsidP="00F401C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C3338">
              <w:rPr>
                <w:rFonts w:ascii="Times New Roman" w:hAnsi="Times New Roman"/>
              </w:rPr>
              <w:t>Regulacja nie spowoduje dodatkowych obciążeń finansowych dla sektora finansów publicznych, w tym budżetu państwa i budżetów jednostek samorządu terytorialnego.</w:t>
            </w:r>
          </w:p>
          <w:p w14:paraId="614F7B20" w14:textId="15EB4547" w:rsidR="00F401C7" w:rsidRPr="005C3338" w:rsidRDefault="00F401C7" w:rsidP="00C4160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3338">
              <w:rPr>
                <w:rFonts w:ascii="Times New Roman" w:hAnsi="Times New Roman"/>
                <w:color w:val="000000"/>
              </w:rPr>
              <w:t>Regulacja będzie miała pozytywny wpływ na sektor finansów publicznych poprzez zredukowanie potencjalnych kosztów środowiskowych i gospodarczych, zarówno w ujęciu monetarnym</w:t>
            </w:r>
            <w:r w:rsidR="002A0E7D">
              <w:rPr>
                <w:rFonts w:ascii="Times New Roman" w:hAnsi="Times New Roman"/>
                <w:color w:val="000000"/>
              </w:rPr>
              <w:t>,</w:t>
            </w:r>
            <w:r w:rsidRPr="005C3338">
              <w:rPr>
                <w:rFonts w:ascii="Times New Roman" w:hAnsi="Times New Roman"/>
                <w:color w:val="000000"/>
              </w:rPr>
              <w:t xml:space="preserve"> jak</w:t>
            </w:r>
            <w:r w:rsidR="005C3338">
              <w:rPr>
                <w:rFonts w:ascii="Times New Roman" w:hAnsi="Times New Roman"/>
                <w:color w:val="000000"/>
              </w:rPr>
              <w:t xml:space="preserve"> </w:t>
            </w:r>
            <w:r w:rsidRPr="005C3338">
              <w:rPr>
                <w:rFonts w:ascii="Times New Roman" w:hAnsi="Times New Roman"/>
                <w:color w:val="000000"/>
              </w:rPr>
              <w:t>i ekologicznym, związanych z  usuwaniem ewentualnych skutków wystąpienia niepożądanych zdarzeń środowiskowych, sytuacji kryzysowych lub zagrożenia środowiska związan</w:t>
            </w:r>
            <w:r w:rsidR="00C41603">
              <w:rPr>
                <w:rFonts w:ascii="Times New Roman" w:hAnsi="Times New Roman"/>
                <w:color w:val="000000"/>
              </w:rPr>
              <w:t>ego</w:t>
            </w:r>
            <w:r w:rsidR="005C3338">
              <w:rPr>
                <w:rFonts w:ascii="Times New Roman" w:hAnsi="Times New Roman"/>
                <w:color w:val="000000"/>
              </w:rPr>
              <w:t xml:space="preserve"> </w:t>
            </w:r>
            <w:r w:rsidRPr="005C3338">
              <w:rPr>
                <w:rFonts w:ascii="Times New Roman" w:hAnsi="Times New Roman"/>
                <w:color w:val="000000"/>
              </w:rPr>
              <w:t>z zanieczyszczeniem wód, zarówno na poziomie lokalnym, regionalnym</w:t>
            </w:r>
            <w:r w:rsidR="0085447B">
              <w:rPr>
                <w:rFonts w:ascii="Times New Roman" w:hAnsi="Times New Roman"/>
                <w:color w:val="000000"/>
              </w:rPr>
              <w:t>,</w:t>
            </w:r>
            <w:r w:rsidRPr="005C3338">
              <w:rPr>
                <w:rFonts w:ascii="Times New Roman" w:hAnsi="Times New Roman"/>
                <w:color w:val="000000"/>
              </w:rPr>
              <w:t xml:space="preserve"> jak również ogólnokrajowym</w:t>
            </w:r>
            <w:r w:rsidR="005C3338" w:rsidRPr="005C3338">
              <w:rPr>
                <w:rFonts w:ascii="Times New Roman" w:hAnsi="Times New Roman"/>
                <w:color w:val="000000"/>
              </w:rPr>
              <w:t>. W związku z powyższym regulacja przyczyni się także do zredukowania potencjalnych kosztów związanych z odtwarzaniem zdegradowanych ekosystemów.</w:t>
            </w:r>
          </w:p>
        </w:tc>
      </w:tr>
      <w:tr w:rsidR="00BC4CE1" w:rsidRPr="008B4FE6" w14:paraId="3BD15D4E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6CBA22AE" w14:textId="77777777" w:rsidR="00BC4CE1" w:rsidRPr="008B4FE6" w:rsidRDefault="00BC4CE1" w:rsidP="00BC4CE1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BC4CE1" w:rsidRPr="008B4FE6" w14:paraId="01FDC89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9F548FC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BC4CE1" w:rsidRPr="008B4FE6" w14:paraId="5E88EACF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0005D314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A7F67E7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4C1FE41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143B78A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DE4FE40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4FAC448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348A843" w14:textId="77777777" w:rsidR="00BC4CE1" w:rsidRPr="00301959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456C15B0" w14:textId="77777777" w:rsidR="00BC4CE1" w:rsidRPr="001B3460" w:rsidRDefault="00BC4CE1" w:rsidP="00BC4CE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BC4CE1" w:rsidRPr="008B4FE6" w14:paraId="42F99B6C" w14:textId="77777777" w:rsidTr="00BB3EEB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5A4FA4A" w14:textId="77777777" w:rsidR="00BC4CE1" w:rsidRDefault="00BC4CE1" w:rsidP="00BC4CE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6522C2B8" w14:textId="77777777" w:rsidR="00BC4CE1" w:rsidRDefault="00BC4CE1" w:rsidP="00BC4CE1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19504E2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stałe z </w:t>
            </w:r>
            <w:r w:rsidR="00AB4471">
              <w:rPr>
                <w:rFonts w:ascii="Times New Roman" w:hAnsi="Times New Roman"/>
                <w:spacing w:val="-2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E90521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22769137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5,655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39ADC233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1,305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59FFE27C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1,305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48A0A595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1,305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55FD2C9B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1,305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6CA50A3A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1,305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12863DB2" w14:textId="77777777" w:rsidR="00BC4CE1" w:rsidRPr="00C20AAE" w:rsidRDefault="00662C09" w:rsidP="00BB3EEB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18,705</w:t>
            </w:r>
          </w:p>
        </w:tc>
      </w:tr>
      <w:tr w:rsidR="00BC4CE1" w:rsidRPr="008B4FE6" w14:paraId="038A3907" w14:textId="77777777" w:rsidTr="00AB447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CCC5C31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F9BB76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75997ADA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1C0AE6FF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694C8A65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386622A7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414C31F7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2325ADA5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77834F68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AB4471" w:rsidRPr="008B4FE6" w14:paraId="3740F8D7" w14:textId="77777777" w:rsidTr="00AB4471">
        <w:trPr>
          <w:gridAfter w:val="1"/>
          <w:wAfter w:w="10" w:type="dxa"/>
          <w:trHeight w:val="504"/>
        </w:trPr>
        <w:tc>
          <w:tcPr>
            <w:tcW w:w="1596" w:type="dxa"/>
            <w:vMerge/>
            <w:shd w:val="clear" w:color="auto" w:fill="FFFFFF"/>
          </w:tcPr>
          <w:p w14:paraId="68BA78EA" w14:textId="77777777" w:rsidR="00AB4471" w:rsidRPr="00301959" w:rsidRDefault="00AB447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4BD8BC3" w14:textId="77777777" w:rsidR="00AB4471" w:rsidRPr="00301959" w:rsidRDefault="00AB447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06A7A11E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67DCB73D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196E99F8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43158DC5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2CEC8DC4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0A0771D2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5AA6420E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BC4CE1" w:rsidRPr="008B4FE6" w14:paraId="45AEDADB" w14:textId="77777777" w:rsidTr="00AB447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2971D35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A485093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  <w:vAlign w:val="center"/>
          </w:tcPr>
          <w:p w14:paraId="1347D479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BC4CE1" w:rsidRPr="008B4FE6" w14:paraId="28DF7755" w14:textId="77777777" w:rsidTr="00AB447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00EE68A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6AF13F3" w14:textId="77777777" w:rsidR="00BC4CE1" w:rsidRPr="00301959" w:rsidRDefault="00BC4CE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  <w:vAlign w:val="center"/>
          </w:tcPr>
          <w:p w14:paraId="759D269E" w14:textId="77777777" w:rsidR="00BC4CE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AB4471" w:rsidRPr="008B4FE6" w14:paraId="268BD9CD" w14:textId="77777777" w:rsidTr="00AB4471">
        <w:trPr>
          <w:gridAfter w:val="1"/>
          <w:wAfter w:w="10" w:type="dxa"/>
          <w:trHeight w:val="438"/>
        </w:trPr>
        <w:tc>
          <w:tcPr>
            <w:tcW w:w="1596" w:type="dxa"/>
            <w:vMerge/>
            <w:shd w:val="clear" w:color="auto" w:fill="FFFFFF"/>
          </w:tcPr>
          <w:p w14:paraId="1FF1BC24" w14:textId="77777777" w:rsidR="00AB4471" w:rsidRPr="00301959" w:rsidRDefault="00AB447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7CB76C4" w14:textId="77777777" w:rsidR="00AB4471" w:rsidRPr="00301959" w:rsidRDefault="00AB4471" w:rsidP="00BC4CE1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7048" w:type="dxa"/>
            <w:gridSpan w:val="22"/>
            <w:shd w:val="clear" w:color="auto" w:fill="FFFFFF"/>
            <w:vAlign w:val="center"/>
          </w:tcPr>
          <w:p w14:paraId="7397EDD4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AB4471" w:rsidRPr="008B4FE6" w14:paraId="7ADB9FA4" w14:textId="77777777" w:rsidTr="00AB4471">
        <w:trPr>
          <w:gridAfter w:val="1"/>
          <w:wAfter w:w="10" w:type="dxa"/>
          <w:trHeight w:val="493"/>
        </w:trPr>
        <w:tc>
          <w:tcPr>
            <w:tcW w:w="1596" w:type="dxa"/>
            <w:shd w:val="clear" w:color="auto" w:fill="FFFFFF"/>
          </w:tcPr>
          <w:p w14:paraId="5E2F43A5" w14:textId="77777777" w:rsidR="00AB4471" w:rsidRPr="00301959" w:rsidRDefault="00AB447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642F74B" w14:textId="7DCD6EB6" w:rsidR="00AB4471" w:rsidRPr="00301959" w:rsidRDefault="00AB4471" w:rsidP="00BC4CE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  <w:vAlign w:val="center"/>
          </w:tcPr>
          <w:p w14:paraId="6215D6BB" w14:textId="77777777" w:rsidR="00AB4471" w:rsidRPr="00B37C80" w:rsidRDefault="00AB4471" w:rsidP="00AB44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F45D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FC03C2" w:rsidRPr="008B4FE6" w14:paraId="15316A89" w14:textId="77777777" w:rsidTr="009B3A11">
        <w:trPr>
          <w:gridAfter w:val="1"/>
          <w:wAfter w:w="10" w:type="dxa"/>
          <w:trHeight w:val="983"/>
        </w:trPr>
        <w:tc>
          <w:tcPr>
            <w:tcW w:w="2243" w:type="dxa"/>
            <w:gridSpan w:val="2"/>
            <w:shd w:val="clear" w:color="auto" w:fill="FFFFFF"/>
          </w:tcPr>
          <w:p w14:paraId="5688635E" w14:textId="77777777" w:rsidR="00FC03C2" w:rsidRPr="00301959" w:rsidRDefault="00FC03C2" w:rsidP="00FC03C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4958F2AD" w14:textId="77777777" w:rsidR="0053769A" w:rsidRPr="005C3338" w:rsidRDefault="00FC03C2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C3338">
              <w:rPr>
                <w:rFonts w:ascii="Times New Roman" w:hAnsi="Times New Roman"/>
              </w:rPr>
              <w:t>Wejście w życie projektu rozporządzenia nie będzie miało wpływu na konkurencyjność gospodarki</w:t>
            </w:r>
            <w:r w:rsidR="005C3338">
              <w:rPr>
                <w:rFonts w:ascii="Times New Roman" w:hAnsi="Times New Roman"/>
              </w:rPr>
              <w:t xml:space="preserve"> </w:t>
            </w:r>
            <w:r w:rsidRPr="005C3338">
              <w:rPr>
                <w:rFonts w:ascii="Times New Roman" w:hAnsi="Times New Roman"/>
              </w:rPr>
              <w:t>i przedsiębiorczość, w tym na funkcjonowanie mikro-, małych i średnich przedsiębiorców oraz sytuację ekonomiczną i społeczną rodziny, a także osób niepełnoprawnych oraz osób starszych.</w:t>
            </w:r>
          </w:p>
          <w:p w14:paraId="7462B567" w14:textId="77777777" w:rsidR="0053769A" w:rsidRPr="00C20AAE" w:rsidRDefault="0053769A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C3338">
              <w:rPr>
                <w:rFonts w:ascii="Times New Roman" w:hAnsi="Times New Roman"/>
              </w:rPr>
              <w:t>Dla dużych przedsiębiorstw, które</w:t>
            </w:r>
            <w:r w:rsidRPr="005C3338">
              <w:t xml:space="preserve"> </w:t>
            </w:r>
            <w:r w:rsidRPr="005C3338">
              <w:rPr>
                <w:rFonts w:ascii="Times New Roman" w:hAnsi="Times New Roman"/>
              </w:rPr>
              <w:t>wprowadzają do wód ścieki przemysłowe oraz wody pochodzące z odwodnienia zakładów górniczych, którym dopuszczono wzrost sumarycznego stężenia chlorków i siarczanów do wartości większej niż 1000 mg/l p</w:t>
            </w:r>
            <w:r w:rsidR="00AB4471" w:rsidRPr="005C3338">
              <w:rPr>
                <w:rFonts w:ascii="Times New Roman" w:hAnsi="Times New Roman"/>
              </w:rPr>
              <w:t xml:space="preserve">rojektowana regulacja </w:t>
            </w:r>
            <w:r w:rsidRPr="005C3338">
              <w:rPr>
                <w:rFonts w:ascii="Times New Roman" w:hAnsi="Times New Roman"/>
              </w:rPr>
              <w:t>będzie wiązała się</w:t>
            </w:r>
            <w:r w:rsidR="005C3338">
              <w:rPr>
                <w:rFonts w:ascii="Times New Roman" w:hAnsi="Times New Roman"/>
              </w:rPr>
              <w:t xml:space="preserve"> </w:t>
            </w:r>
            <w:r w:rsidRPr="005C3338">
              <w:rPr>
                <w:rFonts w:ascii="Times New Roman" w:hAnsi="Times New Roman"/>
              </w:rPr>
              <w:t>z koniecznością poniesienia jednorazowego kosztu związanego z zakupem oraz instalacją urządzeń monitoringowych, a także późniejszych kosztów związanych z ich</w:t>
            </w:r>
            <w:r w:rsidR="00B86DC4">
              <w:rPr>
                <w:rFonts w:ascii="Times New Roman" w:hAnsi="Times New Roman"/>
              </w:rPr>
              <w:t xml:space="preserve"> </w:t>
            </w:r>
            <w:r w:rsidRPr="00C20AAE">
              <w:rPr>
                <w:rFonts w:ascii="Times New Roman" w:hAnsi="Times New Roman"/>
              </w:rPr>
              <w:t>eksploatacją</w:t>
            </w:r>
            <w:r w:rsidR="005C3338" w:rsidRPr="00C20AAE">
              <w:rPr>
                <w:rFonts w:ascii="Times New Roman" w:hAnsi="Times New Roman"/>
              </w:rPr>
              <w:t xml:space="preserve"> </w:t>
            </w:r>
            <w:r w:rsidRPr="00C20AAE">
              <w:rPr>
                <w:rFonts w:ascii="Times New Roman" w:hAnsi="Times New Roman"/>
              </w:rPr>
              <w:t>i wykonywanymi pomiarami.</w:t>
            </w:r>
          </w:p>
          <w:p w14:paraId="09D63977" w14:textId="17DB1740" w:rsidR="000B4046" w:rsidRDefault="00650F8F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20AAE">
              <w:rPr>
                <w:rFonts w:ascii="Times New Roman" w:hAnsi="Times New Roman"/>
              </w:rPr>
              <w:t xml:space="preserve">Na rynku dostępnych jest </w:t>
            </w:r>
            <w:r w:rsidR="00CF3493" w:rsidRPr="00C20AAE">
              <w:rPr>
                <w:rFonts w:ascii="Times New Roman" w:hAnsi="Times New Roman"/>
              </w:rPr>
              <w:t>kilka rodzajów urządzeń do monitorowania jakości wód w zakresie parametrów podstawowych (przewodność elektrolityczna właściwa, tlen rozpuszczony, temperatura, pH). Ich koszt uzależniony jest od technologii wykonania i wynosi od kilku do kilkuset tysięcy złotych.</w:t>
            </w:r>
            <w:r w:rsidR="005227CD" w:rsidRPr="00C20AAE">
              <w:rPr>
                <w:rFonts w:ascii="Times New Roman" w:hAnsi="Times New Roman"/>
              </w:rPr>
              <w:t xml:space="preserve"> Do celów oszacowania </w:t>
            </w:r>
            <w:r w:rsidR="005564EC" w:rsidRPr="00C20AAE">
              <w:rPr>
                <w:rFonts w:ascii="Times New Roman" w:hAnsi="Times New Roman"/>
              </w:rPr>
              <w:t xml:space="preserve">wpływu finansowego </w:t>
            </w:r>
            <w:r w:rsidR="00513E7D" w:rsidRPr="00C20AAE">
              <w:rPr>
                <w:rFonts w:ascii="Times New Roman" w:hAnsi="Times New Roman"/>
              </w:rPr>
              <w:t xml:space="preserve">projektowanej </w:t>
            </w:r>
            <w:r w:rsidR="005564EC" w:rsidRPr="00C20AAE">
              <w:rPr>
                <w:rFonts w:ascii="Times New Roman" w:hAnsi="Times New Roman"/>
              </w:rPr>
              <w:t xml:space="preserve">regulacji </w:t>
            </w:r>
            <w:r w:rsidR="0034163E">
              <w:rPr>
                <w:rFonts w:ascii="Times New Roman" w:hAnsi="Times New Roman"/>
              </w:rPr>
              <w:br/>
            </w:r>
            <w:r w:rsidR="005564EC" w:rsidRPr="00C20AAE">
              <w:rPr>
                <w:rFonts w:ascii="Times New Roman" w:hAnsi="Times New Roman"/>
              </w:rPr>
              <w:t xml:space="preserve">na duże przedsiębiorstwa przyjęto koszt jednego urządzenia na poziomie 50 000 zł. Mając </w:t>
            </w:r>
            <w:r w:rsidR="0034163E">
              <w:rPr>
                <w:rFonts w:ascii="Times New Roman" w:hAnsi="Times New Roman"/>
              </w:rPr>
              <w:br/>
            </w:r>
            <w:r w:rsidR="005564EC" w:rsidRPr="00C20AAE">
              <w:rPr>
                <w:rFonts w:ascii="Times New Roman" w:hAnsi="Times New Roman"/>
              </w:rPr>
              <w:t xml:space="preserve">na uwadze, że </w:t>
            </w:r>
            <w:r w:rsidR="00513E7D" w:rsidRPr="00C20AAE">
              <w:rPr>
                <w:rFonts w:ascii="Times New Roman" w:hAnsi="Times New Roman"/>
              </w:rPr>
              <w:t xml:space="preserve">projektowane przepisy </w:t>
            </w:r>
            <w:r w:rsidR="005564EC" w:rsidRPr="00C20AAE">
              <w:rPr>
                <w:rFonts w:ascii="Times New Roman" w:hAnsi="Times New Roman"/>
              </w:rPr>
              <w:t xml:space="preserve">zakładają pomiar parametrów </w:t>
            </w:r>
            <w:r w:rsidR="006D3BD3" w:rsidRPr="00C20AAE">
              <w:rPr>
                <w:rFonts w:ascii="Times New Roman" w:hAnsi="Times New Roman"/>
              </w:rPr>
              <w:t>podstawowych</w:t>
            </w:r>
            <w:r w:rsidR="005564EC" w:rsidRPr="00C20AAE">
              <w:rPr>
                <w:rFonts w:ascii="Times New Roman" w:hAnsi="Times New Roman"/>
              </w:rPr>
              <w:t xml:space="preserve"> </w:t>
            </w:r>
            <w:r w:rsidR="00D5190D" w:rsidRPr="00C20AAE">
              <w:rPr>
                <w:rFonts w:ascii="Times New Roman" w:hAnsi="Times New Roman"/>
              </w:rPr>
              <w:t>w</w:t>
            </w:r>
            <w:r w:rsidR="005564EC" w:rsidRPr="00C20AAE">
              <w:rPr>
                <w:rFonts w:ascii="Times New Roman" w:hAnsi="Times New Roman"/>
              </w:rPr>
              <w:t xml:space="preserve"> </w:t>
            </w:r>
            <w:r w:rsidR="00D5190D" w:rsidRPr="00C20AAE">
              <w:rPr>
                <w:rFonts w:ascii="Times New Roman" w:hAnsi="Times New Roman"/>
              </w:rPr>
              <w:t>trzech</w:t>
            </w:r>
            <w:r w:rsidR="005564EC" w:rsidRPr="00C20AAE">
              <w:rPr>
                <w:rFonts w:ascii="Times New Roman" w:hAnsi="Times New Roman"/>
              </w:rPr>
              <w:t xml:space="preserve"> </w:t>
            </w:r>
            <w:r w:rsidR="00D5190D" w:rsidRPr="00C20AAE">
              <w:rPr>
                <w:rFonts w:ascii="Times New Roman" w:hAnsi="Times New Roman"/>
              </w:rPr>
              <w:t>miejscach</w:t>
            </w:r>
            <w:r w:rsidR="005564EC" w:rsidRPr="00C20AAE">
              <w:rPr>
                <w:rFonts w:ascii="Times New Roman" w:hAnsi="Times New Roman"/>
              </w:rPr>
              <w:t xml:space="preserve">: </w:t>
            </w:r>
          </w:p>
          <w:p w14:paraId="7A67463F" w14:textId="77777777" w:rsidR="005564EC" w:rsidRPr="00C20AAE" w:rsidRDefault="005564EC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20AAE">
              <w:rPr>
                <w:rFonts w:ascii="Times New Roman" w:hAnsi="Times New Roman"/>
              </w:rPr>
              <w:t xml:space="preserve">1. </w:t>
            </w:r>
            <w:r w:rsidR="006D3BD3" w:rsidRPr="00C20AAE">
              <w:rPr>
                <w:rFonts w:ascii="Times New Roman" w:hAnsi="Times New Roman"/>
              </w:rPr>
              <w:t>powyżej miejsca zrzutu ścieków, 2. poniżej miejsca zrzutu ścieków</w:t>
            </w:r>
            <w:r w:rsidR="00236081" w:rsidRPr="00C20AAE">
              <w:rPr>
                <w:rFonts w:ascii="Times New Roman" w:hAnsi="Times New Roman"/>
              </w:rPr>
              <w:t xml:space="preserve"> oraz</w:t>
            </w:r>
            <w:r w:rsidR="00B86DC4">
              <w:rPr>
                <w:rFonts w:ascii="Times New Roman" w:hAnsi="Times New Roman"/>
              </w:rPr>
              <w:br/>
            </w:r>
            <w:r w:rsidR="006D3BD3" w:rsidRPr="00C20AAE">
              <w:rPr>
                <w:rFonts w:ascii="Times New Roman" w:hAnsi="Times New Roman"/>
              </w:rPr>
              <w:t xml:space="preserve">3. w miejscu zrzutu ścieków, przyjmuje się że jedno przedsiębiorstwo będzie musiało zostać wyposażone w przynajmniej trzy urządzenia monitorujące, przez co koszt dla przedsiębiorstwa przyjmuje się na poziomie 150 000 zł (3 </w:t>
            </w:r>
            <w:r w:rsidR="00D5190D" w:rsidRPr="00C20AAE">
              <w:rPr>
                <w:rFonts w:ascii="Times New Roman" w:hAnsi="Times New Roman"/>
              </w:rPr>
              <w:t xml:space="preserve">urządzenia </w:t>
            </w:r>
            <w:r w:rsidR="006D3BD3" w:rsidRPr="00C20AAE">
              <w:rPr>
                <w:rFonts w:ascii="Times New Roman" w:hAnsi="Times New Roman"/>
              </w:rPr>
              <w:t xml:space="preserve">x 50 000 zł). Jak wskazano w punkcie 4 OSR, zidentyfikowanych zostało </w:t>
            </w:r>
            <w:r w:rsidR="00662C09">
              <w:rPr>
                <w:rFonts w:ascii="Times New Roman" w:hAnsi="Times New Roman"/>
              </w:rPr>
              <w:t>29</w:t>
            </w:r>
            <w:r w:rsidR="006D3BD3" w:rsidRPr="00C20AAE">
              <w:rPr>
                <w:rFonts w:ascii="Times New Roman" w:hAnsi="Times New Roman"/>
              </w:rPr>
              <w:t xml:space="preserve"> podmiotów wprowadzających do wód ścieki przemysłowe oraz wody pochodzące z odwodnienia zakładów górniczych o podwyższonym zasoleniu, zlokalizowane w dorzeczu Odry i Wisły, co daje łączny koszt zakupu urządzeń na poziomie 4 </w:t>
            </w:r>
            <w:r w:rsidR="00662C09">
              <w:rPr>
                <w:rFonts w:ascii="Times New Roman" w:hAnsi="Times New Roman"/>
              </w:rPr>
              <w:t>35</w:t>
            </w:r>
            <w:r w:rsidR="006D3BD3" w:rsidRPr="00C20AAE">
              <w:rPr>
                <w:rFonts w:ascii="Times New Roman" w:hAnsi="Times New Roman"/>
              </w:rPr>
              <w:t>0 000 zł (</w:t>
            </w:r>
            <w:r w:rsidR="00F83041">
              <w:rPr>
                <w:rFonts w:ascii="Times New Roman" w:hAnsi="Times New Roman"/>
              </w:rPr>
              <w:t>29</w:t>
            </w:r>
            <w:r w:rsidR="006D3BD3" w:rsidRPr="00C20AAE">
              <w:rPr>
                <w:rFonts w:ascii="Times New Roman" w:hAnsi="Times New Roman"/>
              </w:rPr>
              <w:t xml:space="preserve"> </w:t>
            </w:r>
            <w:r w:rsidR="00D5190D" w:rsidRPr="00C20AAE">
              <w:rPr>
                <w:rFonts w:ascii="Times New Roman" w:hAnsi="Times New Roman"/>
              </w:rPr>
              <w:t xml:space="preserve">podmiotów </w:t>
            </w:r>
            <w:r w:rsidR="006D3BD3" w:rsidRPr="00C20AAE">
              <w:rPr>
                <w:rFonts w:ascii="Times New Roman" w:hAnsi="Times New Roman"/>
              </w:rPr>
              <w:t>x 150 000 zł).</w:t>
            </w:r>
            <w:r w:rsidR="00D5190D" w:rsidRPr="00C20AAE">
              <w:rPr>
                <w:rFonts w:ascii="Times New Roman" w:hAnsi="Times New Roman"/>
              </w:rPr>
              <w:t xml:space="preserve"> Koszt zakupu urządzeń ma charakter jednorazowy,</w:t>
            </w:r>
            <w:r w:rsidR="00F83041">
              <w:rPr>
                <w:rFonts w:ascii="Times New Roman" w:hAnsi="Times New Roman"/>
              </w:rPr>
              <w:br/>
            </w:r>
            <w:r w:rsidR="00D5190D" w:rsidRPr="00C20AAE">
              <w:rPr>
                <w:rFonts w:ascii="Times New Roman" w:hAnsi="Times New Roman"/>
              </w:rPr>
              <w:t>w pierwszym roku obowiązywania projektowanych regulacji.</w:t>
            </w:r>
          </w:p>
          <w:p w14:paraId="66FECBAE" w14:textId="77777777" w:rsidR="005564EC" w:rsidRDefault="00F374D4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20AAE">
              <w:rPr>
                <w:rFonts w:ascii="Times New Roman" w:hAnsi="Times New Roman"/>
              </w:rPr>
              <w:t>Dodatkowym obciążeniem dla przedsiębiorców objętych obowiązkiem monitorowania parametrów podstawowych są koszty związane z eksploatacją urządzeń oraz wykonywaniem monitoringu. Do kosztów tych wliczyć należy m.in. koszty zużycia energii elektrycznej do zasilania urządzeń pomiarowych i przesyłania danych, koszty kalibracji i serwisu urządzeń</w:t>
            </w:r>
            <w:r w:rsidR="00C20AAE" w:rsidRPr="00C20AAE">
              <w:rPr>
                <w:rFonts w:ascii="Times New Roman" w:hAnsi="Times New Roman"/>
              </w:rPr>
              <w:t>, koszty licencji oprogramowania, koszty szkoleń.</w:t>
            </w:r>
            <w:r w:rsidRPr="00C20AAE">
              <w:rPr>
                <w:rFonts w:ascii="Times New Roman" w:hAnsi="Times New Roman"/>
              </w:rPr>
              <w:t xml:space="preserve"> Roczny koszt eksploatacji jednego </w:t>
            </w:r>
            <w:r w:rsidR="00C20AAE" w:rsidRPr="00C20AAE">
              <w:rPr>
                <w:rFonts w:ascii="Times New Roman" w:hAnsi="Times New Roman"/>
              </w:rPr>
              <w:t>urządzenia</w:t>
            </w:r>
            <w:r w:rsidRPr="00C20AAE">
              <w:rPr>
                <w:rFonts w:ascii="Times New Roman" w:hAnsi="Times New Roman"/>
              </w:rPr>
              <w:t xml:space="preserve"> przyjmuje się na poziomie </w:t>
            </w:r>
            <w:r w:rsidR="00C20AAE" w:rsidRPr="00C20AAE">
              <w:rPr>
                <w:rFonts w:ascii="Times New Roman" w:hAnsi="Times New Roman"/>
              </w:rPr>
              <w:t>15 000 zł. Biorąc pod uwagę liczbę zidentyfikowanych podmiotów or</w:t>
            </w:r>
            <w:r w:rsidR="00181963">
              <w:rPr>
                <w:rFonts w:ascii="Times New Roman" w:hAnsi="Times New Roman"/>
              </w:rPr>
              <w:t>a</w:t>
            </w:r>
            <w:r w:rsidR="00C20AAE" w:rsidRPr="00C20AAE">
              <w:rPr>
                <w:rFonts w:ascii="Times New Roman" w:hAnsi="Times New Roman"/>
              </w:rPr>
              <w:t>z konieczną liczbę urządzeń, łączny roczny koszt eksploatac</w:t>
            </w:r>
            <w:r w:rsidR="00662C09">
              <w:rPr>
                <w:rFonts w:ascii="Times New Roman" w:hAnsi="Times New Roman"/>
              </w:rPr>
              <w:t>ji</w:t>
            </w:r>
            <w:r w:rsidR="00C20AAE" w:rsidRPr="00C20AAE">
              <w:rPr>
                <w:rFonts w:ascii="Times New Roman" w:hAnsi="Times New Roman"/>
              </w:rPr>
              <w:t xml:space="preserve"> szacuje się na poziomie 1 3</w:t>
            </w:r>
            <w:r w:rsidR="00662C09">
              <w:rPr>
                <w:rFonts w:ascii="Times New Roman" w:hAnsi="Times New Roman"/>
              </w:rPr>
              <w:t>05</w:t>
            </w:r>
            <w:r w:rsidR="00C20AAE" w:rsidRPr="00C20AAE">
              <w:rPr>
                <w:rFonts w:ascii="Times New Roman" w:hAnsi="Times New Roman"/>
              </w:rPr>
              <w:t xml:space="preserve"> 000 zł (3 urządzenia x </w:t>
            </w:r>
            <w:r w:rsidR="00662C09">
              <w:rPr>
                <w:rFonts w:ascii="Times New Roman" w:hAnsi="Times New Roman"/>
              </w:rPr>
              <w:t>29</w:t>
            </w:r>
            <w:r w:rsidR="00C20AAE" w:rsidRPr="00C20AAE">
              <w:rPr>
                <w:rFonts w:ascii="Times New Roman" w:hAnsi="Times New Roman"/>
              </w:rPr>
              <w:t xml:space="preserve"> przedsiębiorstw x 15 000 zł).</w:t>
            </w:r>
          </w:p>
          <w:p w14:paraId="57D8C886" w14:textId="57228BEA" w:rsidR="00B86DC4" w:rsidRPr="00C20AAE" w:rsidRDefault="00B86DC4" w:rsidP="000B198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Przyjmuje się, że kwestie koszt</w:t>
            </w:r>
            <w:r w:rsidR="00C05C95">
              <w:rPr>
                <w:rFonts w:ascii="Times New Roman" w:hAnsi="Times New Roman"/>
              </w:rPr>
              <w:t>ów</w:t>
            </w:r>
            <w:r>
              <w:rPr>
                <w:rFonts w:ascii="Times New Roman" w:hAnsi="Times New Roman"/>
              </w:rPr>
              <w:t xml:space="preserve"> kadrow</w:t>
            </w:r>
            <w:r w:rsidR="00C05C95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oraz koszty infrastruktury teleinformatycznej mieszczą się w kosztach ponoszonych prze</w:t>
            </w:r>
            <w:r w:rsidR="00AC67FC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 xml:space="preserve"> przedsiębiorstwa w związku z badaniami prób ścieków realizowanych  w oparciu o obecnie obowiązujące przepisy.</w:t>
            </w:r>
          </w:p>
          <w:p w14:paraId="32918F40" w14:textId="77777777" w:rsidR="000B1989" w:rsidRPr="005C3338" w:rsidRDefault="000B1989" w:rsidP="000B198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0AAE">
              <w:rPr>
                <w:rFonts w:ascii="Times New Roman" w:hAnsi="Times New Roman"/>
              </w:rPr>
              <w:t>Wykazane k</w:t>
            </w:r>
            <w:r w:rsidR="0053769A" w:rsidRPr="00C20AAE">
              <w:rPr>
                <w:rFonts w:ascii="Times New Roman" w:hAnsi="Times New Roman"/>
              </w:rPr>
              <w:t xml:space="preserve">oszty są niewspółmiernie niskie w stosunku to kosztów </w:t>
            </w:r>
            <w:r w:rsidRPr="00C20AAE">
              <w:rPr>
                <w:rFonts w:ascii="Times New Roman" w:hAnsi="Times New Roman"/>
              </w:rPr>
              <w:t>środowiskowych, zarówno w ujęciu monetarnym</w:t>
            </w:r>
            <w:r w:rsidR="00A50D58">
              <w:rPr>
                <w:rFonts w:ascii="Times New Roman" w:hAnsi="Times New Roman"/>
              </w:rPr>
              <w:t>,</w:t>
            </w:r>
            <w:r w:rsidRPr="00C20AAE">
              <w:rPr>
                <w:rFonts w:ascii="Times New Roman" w:hAnsi="Times New Roman"/>
              </w:rPr>
              <w:t xml:space="preserve"> jak i ekologicznym, </w:t>
            </w:r>
            <w:r w:rsidR="0053769A" w:rsidRPr="00C20AAE">
              <w:rPr>
                <w:rFonts w:ascii="Times New Roman" w:hAnsi="Times New Roman"/>
              </w:rPr>
              <w:t xml:space="preserve">związanych z ochroną </w:t>
            </w:r>
            <w:r w:rsidR="0053769A" w:rsidRPr="005C3338">
              <w:rPr>
                <w:rFonts w:ascii="Times New Roman" w:hAnsi="Times New Roman"/>
              </w:rPr>
              <w:t>środowiska wodnego</w:t>
            </w:r>
            <w:r w:rsidRPr="005C3338">
              <w:rPr>
                <w:rFonts w:ascii="Times New Roman" w:hAnsi="Times New Roman"/>
              </w:rPr>
              <w:t xml:space="preserve"> oraz usuwaniem ewentualnych skutków wystąpienia zagrożeń środowiskowych.</w:t>
            </w:r>
          </w:p>
        </w:tc>
      </w:tr>
      <w:tr w:rsidR="00FC03C2" w:rsidRPr="008B4FE6" w14:paraId="1C51B088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3D0CCE8" w14:textId="77777777" w:rsidR="00FC03C2" w:rsidRPr="008B4FE6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FC03C2" w:rsidRPr="008B4FE6" w14:paraId="3D54A036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04EE197E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FC03C2" w:rsidRPr="008B4FE6" w14:paraId="5203F6AE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7292FC40" w14:textId="77777777" w:rsidR="00FC03C2" w:rsidRDefault="00FC03C2" w:rsidP="00FC03C2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BE40BC7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6A493C1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2C53160" w14:textId="77777777" w:rsidR="00FC03C2" w:rsidRDefault="00381C4E" w:rsidP="00FC03C2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A6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C03C2" w:rsidRPr="008B4FE6" w14:paraId="79F89A6E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7D1B63FF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ED83855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7F5D0BF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C560E3F" w14:textId="77777777" w:rsidR="00FC03C2" w:rsidRPr="008B4FE6" w:rsidRDefault="00381C4E" w:rsidP="00FC03C2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FC03C2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FC03C2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C6D5F13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989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AE55417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0AD7B752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0A08AC6" w14:textId="77777777" w:rsidR="00FC03C2" w:rsidRPr="008B4FE6" w:rsidRDefault="00381C4E" w:rsidP="00F401C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FC03C2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FC03C2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FC03C2" w:rsidRPr="008B4FE6" w14:paraId="198F6D0A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51495942" w14:textId="77777777" w:rsidR="00FC03C2" w:rsidRPr="008B4FE6" w:rsidRDefault="00FC03C2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5F21704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989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369A65B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71FC9D8" w14:textId="77777777" w:rsidR="00FC03C2" w:rsidRPr="008B4FE6" w:rsidRDefault="00381C4E" w:rsidP="00F401C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C03C2" w:rsidRPr="008B4FE6" w14:paraId="55B57F41" w14:textId="77777777" w:rsidTr="005C3338">
        <w:trPr>
          <w:gridAfter w:val="1"/>
          <w:wAfter w:w="10" w:type="dxa"/>
          <w:trHeight w:val="279"/>
        </w:trPr>
        <w:tc>
          <w:tcPr>
            <w:tcW w:w="10937" w:type="dxa"/>
            <w:gridSpan w:val="29"/>
            <w:shd w:val="clear" w:color="auto" w:fill="FFFFFF"/>
          </w:tcPr>
          <w:p w14:paraId="2E56DEFE" w14:textId="77777777" w:rsidR="00FC03C2" w:rsidRPr="005C3338" w:rsidRDefault="009B3C78" w:rsidP="000B198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3338">
              <w:rPr>
                <w:rFonts w:ascii="Times New Roman" w:hAnsi="Times New Roman"/>
                <w:color w:val="000000"/>
              </w:rPr>
              <w:t xml:space="preserve">Komentarz: </w:t>
            </w:r>
            <w:r w:rsidR="00EF41A6" w:rsidRPr="005C3338">
              <w:rPr>
                <w:rFonts w:ascii="Times New Roman" w:hAnsi="Times New Roman"/>
                <w:color w:val="000000"/>
              </w:rPr>
              <w:t xml:space="preserve">Wprowadzenie obowiązku prowadzenia ciągłego monitoringu przez przedsiębiorstwa objęte tymi regulacjami będzie wiązało się z koniecznością wytwarzania i przechowywania dokumentacji </w:t>
            </w:r>
            <w:r w:rsidR="0043056C" w:rsidRPr="005C3338">
              <w:rPr>
                <w:rFonts w:ascii="Times New Roman" w:hAnsi="Times New Roman"/>
                <w:color w:val="000000"/>
              </w:rPr>
              <w:t xml:space="preserve">w formie elektronicznej </w:t>
            </w:r>
            <w:r w:rsidR="00EF41A6" w:rsidRPr="005C3338">
              <w:rPr>
                <w:rFonts w:ascii="Times New Roman" w:hAnsi="Times New Roman"/>
                <w:color w:val="000000"/>
              </w:rPr>
              <w:t>obejmującej wyniki przeprowadzonych pomiarów parametrów podstawowych jakości wód powierzchniowych oraz ścieków wprowadzanych do tych wód.</w:t>
            </w:r>
          </w:p>
        </w:tc>
      </w:tr>
      <w:tr w:rsidR="00FC03C2" w:rsidRPr="008B4FE6" w14:paraId="57880B3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EDFB74F" w14:textId="77777777" w:rsidR="00FC03C2" w:rsidRPr="008B4FE6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Wpływ na rynek pracy </w:t>
            </w:r>
          </w:p>
        </w:tc>
      </w:tr>
      <w:tr w:rsidR="00FC03C2" w:rsidRPr="008B4FE6" w14:paraId="1D4D57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1924368C" w14:textId="77777777" w:rsidR="00FC03C2" w:rsidRPr="008B4FE6" w:rsidRDefault="00FC03C2" w:rsidP="00FC03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</w:t>
            </w:r>
            <w:r w:rsidRPr="00797ED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ejście w życie rozporządzenia nie będzie miało </w:t>
            </w:r>
            <w:r w:rsidRPr="00797EDC">
              <w:rPr>
                <w:rFonts w:ascii="Times New Roman" w:hAnsi="Times New Roman"/>
                <w:color w:val="000000"/>
              </w:rPr>
              <w:t>wpływu na rynek pracy.</w:t>
            </w:r>
          </w:p>
        </w:tc>
      </w:tr>
      <w:tr w:rsidR="00FC03C2" w:rsidRPr="008B4FE6" w14:paraId="5D79C85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B1CDDE7" w14:textId="77777777" w:rsidR="00FC03C2" w:rsidRPr="008B4FE6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FC03C2" w:rsidRPr="008B4FE6" w14:paraId="10595804" w14:textId="77777777" w:rsidTr="000B1989">
        <w:trPr>
          <w:gridAfter w:val="1"/>
          <w:wAfter w:w="10" w:type="dxa"/>
          <w:trHeight w:val="764"/>
        </w:trPr>
        <w:tc>
          <w:tcPr>
            <w:tcW w:w="3547" w:type="dxa"/>
            <w:gridSpan w:val="5"/>
            <w:shd w:val="clear" w:color="auto" w:fill="FFFFFF"/>
          </w:tcPr>
          <w:p w14:paraId="2406F717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A41E627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2200A5B3" w14:textId="7AFDD4C5" w:rsidR="00870A0E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694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A0E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870A0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70A0E" w:rsidRPr="00141F1C"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  <w:p w14:paraId="0D2733DF" w14:textId="03B43A0E" w:rsidR="00FC03C2" w:rsidRPr="008B4FE6" w:rsidRDefault="00FC03C2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687" w:type="dxa"/>
            <w:gridSpan w:val="15"/>
            <w:shd w:val="clear" w:color="auto" w:fill="FFFFFF"/>
          </w:tcPr>
          <w:p w14:paraId="33FDB35A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26D64629" w14:textId="77777777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54E4ACC" w14:textId="77777777" w:rsidR="00FC03C2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C03C2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D8EDDAC" w14:textId="77777777" w:rsidR="00870A0E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C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FC03C2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  <w:p w14:paraId="2798148E" w14:textId="6FBAC61C" w:rsidR="00FC03C2" w:rsidRPr="008B4FE6" w:rsidRDefault="00381C4E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56374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A0E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870A0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70A0E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870A0E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FC03C2" w:rsidRPr="008B4FE6" w14:paraId="6AC860A2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E924F6B" w14:textId="77777777" w:rsidR="00FC03C2" w:rsidRPr="008B4FE6" w:rsidRDefault="00FC03C2" w:rsidP="00FC03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DFD9E07" w14:textId="77777777" w:rsidR="004C1BFC" w:rsidRPr="005C3338" w:rsidRDefault="0043056C" w:rsidP="00C37C1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3338">
              <w:rPr>
                <w:rFonts w:ascii="Times New Roman" w:hAnsi="Times New Roman"/>
                <w:color w:val="000000"/>
                <w:spacing w:val="-2"/>
              </w:rPr>
              <w:t xml:space="preserve">Regulacja będzie miała pozytywny wpływ na środowisko, w szczególności środowisko wodne. Monitoring parametrów podstawowych </w:t>
            </w:r>
            <w:r w:rsidRPr="005C3338">
              <w:rPr>
                <w:rFonts w:ascii="Times New Roman" w:hAnsi="Times New Roman"/>
                <w:color w:val="000000"/>
              </w:rPr>
              <w:t>jakości wód powierzchniowych oraz ścieków wprowadzanych do tych wód przyczynie się do poprawy szybkości podejmowania</w:t>
            </w:r>
            <w:r w:rsidR="004C1BFC" w:rsidRPr="005C3338">
              <w:rPr>
                <w:rFonts w:ascii="Times New Roman" w:hAnsi="Times New Roman"/>
                <w:color w:val="000000"/>
              </w:rPr>
              <w:t xml:space="preserve"> zarówno przez same przedsiębiorstwa działające w oparciu o pozwolenia wodnoprawne</w:t>
            </w:r>
            <w:r w:rsidR="00B86DC4">
              <w:rPr>
                <w:rFonts w:ascii="Times New Roman" w:hAnsi="Times New Roman"/>
                <w:color w:val="000000"/>
              </w:rPr>
              <w:t xml:space="preserve"> lub pozwolenia zintegrowane</w:t>
            </w:r>
            <w:r w:rsidR="004C1BFC" w:rsidRPr="005C3338">
              <w:rPr>
                <w:rFonts w:ascii="Times New Roman" w:hAnsi="Times New Roman"/>
                <w:color w:val="000000"/>
              </w:rPr>
              <w:t>, jak i przez właściwe jednostki administracyjne ochrony środowiska oraz gospodarki wodnej</w:t>
            </w:r>
            <w:r w:rsidRPr="005C3338">
              <w:rPr>
                <w:rFonts w:ascii="Times New Roman" w:hAnsi="Times New Roman"/>
                <w:color w:val="000000"/>
              </w:rPr>
              <w:t xml:space="preserve"> działań </w:t>
            </w:r>
            <w:r w:rsidR="004C1BFC" w:rsidRPr="005C3338">
              <w:rPr>
                <w:rFonts w:ascii="Times New Roman" w:hAnsi="Times New Roman"/>
                <w:color w:val="000000"/>
              </w:rPr>
              <w:t>prewencyjnych związanych z</w:t>
            </w:r>
            <w:r w:rsidRPr="005C3338">
              <w:rPr>
                <w:rFonts w:ascii="Times New Roman" w:hAnsi="Times New Roman"/>
                <w:color w:val="000000"/>
              </w:rPr>
              <w:t xml:space="preserve"> uniknięci</w:t>
            </w:r>
            <w:r w:rsidR="004C1BFC" w:rsidRPr="005C3338">
              <w:rPr>
                <w:rFonts w:ascii="Times New Roman" w:hAnsi="Times New Roman"/>
                <w:color w:val="000000"/>
              </w:rPr>
              <w:t>em</w:t>
            </w:r>
            <w:r w:rsidRPr="005C3338">
              <w:rPr>
                <w:rFonts w:ascii="Times New Roman" w:hAnsi="Times New Roman"/>
                <w:color w:val="000000"/>
              </w:rPr>
              <w:t xml:space="preserve"> </w:t>
            </w:r>
            <w:r w:rsidR="004C1BFC" w:rsidRPr="005C3338">
              <w:rPr>
                <w:rFonts w:ascii="Times New Roman" w:hAnsi="Times New Roman"/>
                <w:color w:val="000000"/>
              </w:rPr>
              <w:t>wystąpienia sytuacji kryzysow</w:t>
            </w:r>
            <w:r w:rsidR="00C37C1F" w:rsidRPr="005C3338">
              <w:rPr>
                <w:rFonts w:ascii="Times New Roman" w:hAnsi="Times New Roman"/>
                <w:color w:val="000000"/>
              </w:rPr>
              <w:t>ych</w:t>
            </w:r>
            <w:r w:rsidR="004C1BFC" w:rsidRPr="005C3338">
              <w:rPr>
                <w:rFonts w:ascii="Times New Roman" w:hAnsi="Times New Roman"/>
                <w:color w:val="000000"/>
              </w:rPr>
              <w:t xml:space="preserve"> lub zagrożenia środowiska oraz działań zaradczych </w:t>
            </w:r>
            <w:r w:rsidR="00C37C1F" w:rsidRPr="005C3338">
              <w:rPr>
                <w:rFonts w:ascii="Times New Roman" w:hAnsi="Times New Roman"/>
                <w:color w:val="000000"/>
              </w:rPr>
              <w:t>lub naprawczych</w:t>
            </w:r>
            <w:r w:rsidR="00B86DC4">
              <w:rPr>
                <w:rFonts w:ascii="Times New Roman" w:hAnsi="Times New Roman"/>
                <w:color w:val="000000"/>
              </w:rPr>
              <w:br/>
            </w:r>
            <w:r w:rsidR="004C1BFC" w:rsidRPr="005C3338">
              <w:rPr>
                <w:rFonts w:ascii="Times New Roman" w:hAnsi="Times New Roman"/>
                <w:color w:val="000000"/>
              </w:rPr>
              <w:t>w przypadku wystąpienia niepożądanych skutków środowiskowych</w:t>
            </w:r>
            <w:r w:rsidR="00C37C1F" w:rsidRPr="005C3338">
              <w:rPr>
                <w:rFonts w:ascii="Times New Roman" w:hAnsi="Times New Roman"/>
                <w:color w:val="000000"/>
              </w:rPr>
              <w:t>.</w:t>
            </w:r>
          </w:p>
          <w:p w14:paraId="65A44A6F" w14:textId="77777777" w:rsidR="00FC03C2" w:rsidRPr="008B4FE6" w:rsidRDefault="004C1BFC" w:rsidP="004C1B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C3338">
              <w:rPr>
                <w:rFonts w:ascii="Times New Roman" w:hAnsi="Times New Roman"/>
                <w:color w:val="000000"/>
              </w:rPr>
              <w:t>Ochrona zasobów wodnych ma zarówno bezpośrednie</w:t>
            </w:r>
            <w:r w:rsidR="00804183">
              <w:rPr>
                <w:rFonts w:ascii="Times New Roman" w:hAnsi="Times New Roman"/>
                <w:color w:val="000000"/>
              </w:rPr>
              <w:t>,</w:t>
            </w:r>
            <w:r w:rsidRPr="005C3338">
              <w:rPr>
                <w:rFonts w:ascii="Times New Roman" w:hAnsi="Times New Roman"/>
                <w:color w:val="000000"/>
              </w:rPr>
              <w:t xml:space="preserve"> jak i pośrednie przełożenie na ochronę zdrowia i życia ludności, </w:t>
            </w:r>
            <w:r w:rsidR="008C252E">
              <w:rPr>
                <w:rFonts w:ascii="Times New Roman" w:hAnsi="Times New Roman"/>
                <w:color w:val="000000"/>
              </w:rPr>
              <w:t xml:space="preserve">zwierząt gospodarskich, </w:t>
            </w:r>
            <w:r w:rsidRPr="005C3338">
              <w:rPr>
                <w:rFonts w:ascii="Times New Roman" w:hAnsi="Times New Roman"/>
                <w:color w:val="000000"/>
              </w:rPr>
              <w:t>a także elementów ożywionych środowiska</w:t>
            </w:r>
            <w:r w:rsidR="00C37C1F" w:rsidRPr="005C3338">
              <w:rPr>
                <w:rFonts w:ascii="Times New Roman" w:hAnsi="Times New Roman"/>
                <w:color w:val="000000"/>
              </w:rPr>
              <w:t xml:space="preserve"> – </w:t>
            </w:r>
            <w:r w:rsidR="008C252E">
              <w:rPr>
                <w:rFonts w:ascii="Times New Roman" w:hAnsi="Times New Roman"/>
                <w:color w:val="000000"/>
              </w:rPr>
              <w:t>fauny i flory</w:t>
            </w:r>
            <w:r w:rsidRPr="005C333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C03C2" w:rsidRPr="008B4FE6" w14:paraId="6515245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4301EAA" w14:textId="77777777" w:rsidR="00FC03C2" w:rsidRPr="00627221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FC03C2" w:rsidRPr="008B4FE6" w14:paraId="7F0E420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71F18FB" w14:textId="77777777" w:rsidR="00FC03C2" w:rsidRPr="00B37C80" w:rsidRDefault="00EF41A6" w:rsidP="00EF41A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T</w:t>
            </w:r>
            <w:r w:rsidRPr="00952298">
              <w:rPr>
                <w:rFonts w:ascii="Times New Roman" w:hAnsi="Times New Roman"/>
                <w:spacing w:val="-2"/>
              </w:rPr>
              <w:t xml:space="preserve">ermin wejścia w życie </w:t>
            </w:r>
            <w:r>
              <w:rPr>
                <w:rFonts w:ascii="Times New Roman" w:hAnsi="Times New Roman"/>
                <w:spacing w:val="-2"/>
              </w:rPr>
              <w:t xml:space="preserve">wyznaczony został na </w:t>
            </w:r>
            <w:r w:rsidR="001C59DF">
              <w:rPr>
                <w:rFonts w:ascii="Times New Roman" w:hAnsi="Times New Roman"/>
                <w:spacing w:val="-2"/>
              </w:rPr>
              <w:t xml:space="preserve">dzień </w:t>
            </w:r>
            <w:r>
              <w:rPr>
                <w:rFonts w:ascii="Times New Roman" w:hAnsi="Times New Roman"/>
                <w:spacing w:val="-2"/>
              </w:rPr>
              <w:t>1 stycznia 2024 r.</w:t>
            </w:r>
          </w:p>
        </w:tc>
      </w:tr>
      <w:tr w:rsidR="00FC03C2" w:rsidRPr="008B4FE6" w14:paraId="2E08D6C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108EA13" w14:textId="77777777" w:rsidR="00FC03C2" w:rsidRPr="008B4FE6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FC03C2" w:rsidRPr="008B4FE6" w14:paraId="08BC866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423B3FC" w14:textId="77777777" w:rsidR="00FC03C2" w:rsidRPr="00B37C80" w:rsidRDefault="00EF41A6" w:rsidP="00EF41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41A6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FC03C2" w:rsidRPr="008B4FE6" w14:paraId="3E26415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37D6F5E" w14:textId="77777777" w:rsidR="00FC03C2" w:rsidRPr="008B4FE6" w:rsidRDefault="00FC03C2" w:rsidP="00FC03C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FC03C2" w:rsidRPr="008B4FE6" w14:paraId="5309D4EC" w14:textId="77777777" w:rsidTr="00FC03C2">
        <w:trPr>
          <w:gridAfter w:val="1"/>
          <w:wAfter w:w="10" w:type="dxa"/>
          <w:trHeight w:val="287"/>
        </w:trPr>
        <w:tc>
          <w:tcPr>
            <w:tcW w:w="10937" w:type="dxa"/>
            <w:gridSpan w:val="29"/>
            <w:shd w:val="clear" w:color="auto" w:fill="FFFFFF"/>
          </w:tcPr>
          <w:p w14:paraId="5CA5786D" w14:textId="77777777" w:rsidR="00FC03C2" w:rsidRPr="00FC03C2" w:rsidRDefault="00926C56" w:rsidP="00FC03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1. </w:t>
            </w:r>
            <w:r w:rsidR="00AC55E7" w:rsidRPr="00AC55E7">
              <w:rPr>
                <w:rFonts w:ascii="Times New Roman" w:hAnsi="Times New Roman"/>
                <w:color w:val="000000"/>
                <w:spacing w:val="-2"/>
              </w:rPr>
              <w:t>Wykaz podmiotów odprowadzających ścieki o podwyższonym zasoleniu, zlokalizowanych w dorzeczu Odry i Wisły</w:t>
            </w:r>
            <w:r w:rsidR="00AC55E7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14:paraId="3B3A4E15" w14:textId="77777777" w:rsidR="006176ED" w:rsidRPr="00522D94" w:rsidRDefault="009D0655" w:rsidP="00441787">
      <w:pPr>
        <w:spacing w:after="120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B43F" w14:textId="77777777" w:rsidR="00381C4E" w:rsidRDefault="00381C4E" w:rsidP="00044739">
      <w:pPr>
        <w:spacing w:line="240" w:lineRule="auto"/>
      </w:pPr>
      <w:r>
        <w:separator/>
      </w:r>
    </w:p>
  </w:endnote>
  <w:endnote w:type="continuationSeparator" w:id="0">
    <w:p w14:paraId="3EDA2A9B" w14:textId="77777777" w:rsidR="00381C4E" w:rsidRDefault="00381C4E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4383" w14:textId="77777777" w:rsidR="00381C4E" w:rsidRDefault="00381C4E" w:rsidP="00044739">
      <w:pPr>
        <w:spacing w:line="240" w:lineRule="auto"/>
      </w:pPr>
      <w:r>
        <w:separator/>
      </w:r>
    </w:p>
  </w:footnote>
  <w:footnote w:type="continuationSeparator" w:id="0">
    <w:p w14:paraId="1E90787C" w14:textId="77777777" w:rsidR="00381C4E" w:rsidRDefault="00381C4E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DDD"/>
    <w:multiLevelType w:val="hybridMultilevel"/>
    <w:tmpl w:val="945AB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4DF20073"/>
    <w:multiLevelType w:val="hybridMultilevel"/>
    <w:tmpl w:val="3606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658910B1"/>
    <w:multiLevelType w:val="hybridMultilevel"/>
    <w:tmpl w:val="3606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9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20"/>
  </w:num>
  <w:num w:numId="15">
    <w:abstractNumId w:val="16"/>
  </w:num>
  <w:num w:numId="16">
    <w:abstractNumId w:val="18"/>
  </w:num>
  <w:num w:numId="17">
    <w:abstractNumId w:val="6"/>
  </w:num>
  <w:num w:numId="18">
    <w:abstractNumId w:val="22"/>
  </w:num>
  <w:num w:numId="19">
    <w:abstractNumId w:val="23"/>
  </w:num>
  <w:num w:numId="20">
    <w:abstractNumId w:val="17"/>
  </w:num>
  <w:num w:numId="21">
    <w:abstractNumId w:val="7"/>
  </w:num>
  <w:num w:numId="22">
    <w:abstractNumId w:val="2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50DE"/>
    <w:rsid w:val="00012D11"/>
    <w:rsid w:val="00013EB5"/>
    <w:rsid w:val="00023836"/>
    <w:rsid w:val="00027E54"/>
    <w:rsid w:val="000356A9"/>
    <w:rsid w:val="00044138"/>
    <w:rsid w:val="00044739"/>
    <w:rsid w:val="00051637"/>
    <w:rsid w:val="00056681"/>
    <w:rsid w:val="000648A7"/>
    <w:rsid w:val="00064E08"/>
    <w:rsid w:val="0006618B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97F6F"/>
    <w:rsid w:val="000A23DE"/>
    <w:rsid w:val="000A4020"/>
    <w:rsid w:val="000A4721"/>
    <w:rsid w:val="000B1989"/>
    <w:rsid w:val="000B4046"/>
    <w:rsid w:val="000B54FB"/>
    <w:rsid w:val="000C29B0"/>
    <w:rsid w:val="000C76FC"/>
    <w:rsid w:val="000D38FC"/>
    <w:rsid w:val="000D4D90"/>
    <w:rsid w:val="000E2D10"/>
    <w:rsid w:val="000F3204"/>
    <w:rsid w:val="0010548B"/>
    <w:rsid w:val="001072D1"/>
    <w:rsid w:val="00117017"/>
    <w:rsid w:val="00130E8E"/>
    <w:rsid w:val="00131FE7"/>
    <w:rsid w:val="0013216E"/>
    <w:rsid w:val="001401B5"/>
    <w:rsid w:val="001422B9"/>
    <w:rsid w:val="0014665F"/>
    <w:rsid w:val="001518CF"/>
    <w:rsid w:val="00153464"/>
    <w:rsid w:val="001541B3"/>
    <w:rsid w:val="00155B15"/>
    <w:rsid w:val="001625BE"/>
    <w:rsid w:val="001643A4"/>
    <w:rsid w:val="001727BB"/>
    <w:rsid w:val="00180D25"/>
    <w:rsid w:val="00181963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B3460"/>
    <w:rsid w:val="001B4CA1"/>
    <w:rsid w:val="001B75D8"/>
    <w:rsid w:val="001C1060"/>
    <w:rsid w:val="001C3C63"/>
    <w:rsid w:val="001C59DF"/>
    <w:rsid w:val="001D4732"/>
    <w:rsid w:val="001D509F"/>
    <w:rsid w:val="001D6A3C"/>
    <w:rsid w:val="001D6D51"/>
    <w:rsid w:val="001D774E"/>
    <w:rsid w:val="001F653A"/>
    <w:rsid w:val="001F6979"/>
    <w:rsid w:val="00202BC6"/>
    <w:rsid w:val="00205141"/>
    <w:rsid w:val="0020516B"/>
    <w:rsid w:val="00207711"/>
    <w:rsid w:val="00213559"/>
    <w:rsid w:val="00213EFD"/>
    <w:rsid w:val="002171C3"/>
    <w:rsid w:val="002172F1"/>
    <w:rsid w:val="00223C7B"/>
    <w:rsid w:val="00224AB1"/>
    <w:rsid w:val="0022687A"/>
    <w:rsid w:val="00230728"/>
    <w:rsid w:val="00234040"/>
    <w:rsid w:val="00235CD2"/>
    <w:rsid w:val="00236081"/>
    <w:rsid w:val="00240EA3"/>
    <w:rsid w:val="00252228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610"/>
    <w:rsid w:val="00274862"/>
    <w:rsid w:val="00282D72"/>
    <w:rsid w:val="00283402"/>
    <w:rsid w:val="00290FD6"/>
    <w:rsid w:val="00294259"/>
    <w:rsid w:val="002A0E7D"/>
    <w:rsid w:val="002A2C81"/>
    <w:rsid w:val="002A78E9"/>
    <w:rsid w:val="002B3D1A"/>
    <w:rsid w:val="002B4C6C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168C0"/>
    <w:rsid w:val="00331BF9"/>
    <w:rsid w:val="0033495E"/>
    <w:rsid w:val="00334A79"/>
    <w:rsid w:val="00334D8D"/>
    <w:rsid w:val="00337345"/>
    <w:rsid w:val="00337DD2"/>
    <w:rsid w:val="003404D1"/>
    <w:rsid w:val="0034163E"/>
    <w:rsid w:val="003443FF"/>
    <w:rsid w:val="00355808"/>
    <w:rsid w:val="00362C7E"/>
    <w:rsid w:val="00363309"/>
    <w:rsid w:val="00363601"/>
    <w:rsid w:val="00371857"/>
    <w:rsid w:val="003763E4"/>
    <w:rsid w:val="00376AC9"/>
    <w:rsid w:val="00381C4E"/>
    <w:rsid w:val="0038502F"/>
    <w:rsid w:val="00393032"/>
    <w:rsid w:val="00394B69"/>
    <w:rsid w:val="00397078"/>
    <w:rsid w:val="003A6953"/>
    <w:rsid w:val="003B6083"/>
    <w:rsid w:val="003C3838"/>
    <w:rsid w:val="003C5847"/>
    <w:rsid w:val="003C6C36"/>
    <w:rsid w:val="003D0681"/>
    <w:rsid w:val="003D12F6"/>
    <w:rsid w:val="003D1426"/>
    <w:rsid w:val="003E2F4E"/>
    <w:rsid w:val="003E720A"/>
    <w:rsid w:val="00403E6E"/>
    <w:rsid w:val="00404879"/>
    <w:rsid w:val="004129B4"/>
    <w:rsid w:val="00417EF0"/>
    <w:rsid w:val="00422181"/>
    <w:rsid w:val="004244A8"/>
    <w:rsid w:val="00425F72"/>
    <w:rsid w:val="00427736"/>
    <w:rsid w:val="0043056C"/>
    <w:rsid w:val="00441787"/>
    <w:rsid w:val="00444F2D"/>
    <w:rsid w:val="004464EC"/>
    <w:rsid w:val="00452034"/>
    <w:rsid w:val="00455FA6"/>
    <w:rsid w:val="00466C70"/>
    <w:rsid w:val="004702C9"/>
    <w:rsid w:val="00471FDD"/>
    <w:rsid w:val="00472E45"/>
    <w:rsid w:val="00473FEA"/>
    <w:rsid w:val="0047579D"/>
    <w:rsid w:val="0048304F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1BFC"/>
    <w:rsid w:val="004C36D8"/>
    <w:rsid w:val="004C42BA"/>
    <w:rsid w:val="004D1248"/>
    <w:rsid w:val="004D1E3C"/>
    <w:rsid w:val="004D4169"/>
    <w:rsid w:val="004D6E14"/>
    <w:rsid w:val="004D7328"/>
    <w:rsid w:val="004F0575"/>
    <w:rsid w:val="004F4E17"/>
    <w:rsid w:val="0050082F"/>
    <w:rsid w:val="00500C56"/>
    <w:rsid w:val="00501713"/>
    <w:rsid w:val="00506568"/>
    <w:rsid w:val="00513E7D"/>
    <w:rsid w:val="0051551B"/>
    <w:rsid w:val="00520C57"/>
    <w:rsid w:val="005227CD"/>
    <w:rsid w:val="00522D94"/>
    <w:rsid w:val="00533D89"/>
    <w:rsid w:val="00536564"/>
    <w:rsid w:val="0053769A"/>
    <w:rsid w:val="00544597"/>
    <w:rsid w:val="00544FFE"/>
    <w:rsid w:val="005473F5"/>
    <w:rsid w:val="005477E7"/>
    <w:rsid w:val="00552794"/>
    <w:rsid w:val="005564EC"/>
    <w:rsid w:val="00563199"/>
    <w:rsid w:val="00564874"/>
    <w:rsid w:val="00567963"/>
    <w:rsid w:val="0057009A"/>
    <w:rsid w:val="005700FF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C3338"/>
    <w:rsid w:val="005D61D6"/>
    <w:rsid w:val="005E0D13"/>
    <w:rsid w:val="005E5047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50F8F"/>
    <w:rsid w:val="00653688"/>
    <w:rsid w:val="0066091B"/>
    <w:rsid w:val="00662C09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C2D40"/>
    <w:rsid w:val="006D0720"/>
    <w:rsid w:val="006D3BD3"/>
    <w:rsid w:val="006D4704"/>
    <w:rsid w:val="006D6A2D"/>
    <w:rsid w:val="006E1E18"/>
    <w:rsid w:val="006E31CE"/>
    <w:rsid w:val="006E34D3"/>
    <w:rsid w:val="006E52AD"/>
    <w:rsid w:val="006F1435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C2F"/>
    <w:rsid w:val="00725DE7"/>
    <w:rsid w:val="0072636A"/>
    <w:rsid w:val="00726B44"/>
    <w:rsid w:val="007318DD"/>
    <w:rsid w:val="00733167"/>
    <w:rsid w:val="00735CCA"/>
    <w:rsid w:val="00740CD3"/>
    <w:rsid w:val="00740D2C"/>
    <w:rsid w:val="007415D0"/>
    <w:rsid w:val="00744BF9"/>
    <w:rsid w:val="00752623"/>
    <w:rsid w:val="007579F1"/>
    <w:rsid w:val="00760F1F"/>
    <w:rsid w:val="00761727"/>
    <w:rsid w:val="0076423E"/>
    <w:rsid w:val="007646CB"/>
    <w:rsid w:val="0076658F"/>
    <w:rsid w:val="0077040A"/>
    <w:rsid w:val="00772D64"/>
    <w:rsid w:val="0077676C"/>
    <w:rsid w:val="00792609"/>
    <w:rsid w:val="00792887"/>
    <w:rsid w:val="007943E2"/>
    <w:rsid w:val="00794F2C"/>
    <w:rsid w:val="007A3BC7"/>
    <w:rsid w:val="007A5AC4"/>
    <w:rsid w:val="007B0FDD"/>
    <w:rsid w:val="007B3914"/>
    <w:rsid w:val="007B4719"/>
    <w:rsid w:val="007B4802"/>
    <w:rsid w:val="007B6668"/>
    <w:rsid w:val="007B6B33"/>
    <w:rsid w:val="007C2701"/>
    <w:rsid w:val="007D2192"/>
    <w:rsid w:val="007F0021"/>
    <w:rsid w:val="007F2F52"/>
    <w:rsid w:val="00801F71"/>
    <w:rsid w:val="00804183"/>
    <w:rsid w:val="00805F28"/>
    <w:rsid w:val="0080749F"/>
    <w:rsid w:val="00807F30"/>
    <w:rsid w:val="00811D46"/>
    <w:rsid w:val="008125B0"/>
    <w:rsid w:val="008144CB"/>
    <w:rsid w:val="00821717"/>
    <w:rsid w:val="00824210"/>
    <w:rsid w:val="008263C0"/>
    <w:rsid w:val="00841422"/>
    <w:rsid w:val="00841D3B"/>
    <w:rsid w:val="0084314C"/>
    <w:rsid w:val="00843171"/>
    <w:rsid w:val="0085447B"/>
    <w:rsid w:val="00856799"/>
    <w:rsid w:val="008575C3"/>
    <w:rsid w:val="00863D28"/>
    <w:rsid w:val="008648C3"/>
    <w:rsid w:val="00870A0E"/>
    <w:rsid w:val="00880F26"/>
    <w:rsid w:val="00896C2E"/>
    <w:rsid w:val="008A5095"/>
    <w:rsid w:val="008A608F"/>
    <w:rsid w:val="008B1A9A"/>
    <w:rsid w:val="008B4FE6"/>
    <w:rsid w:val="008B6C37"/>
    <w:rsid w:val="008C252E"/>
    <w:rsid w:val="008E18F7"/>
    <w:rsid w:val="008E1E10"/>
    <w:rsid w:val="008E291B"/>
    <w:rsid w:val="008E4049"/>
    <w:rsid w:val="008E4F2F"/>
    <w:rsid w:val="008E74B0"/>
    <w:rsid w:val="009008A8"/>
    <w:rsid w:val="009063B0"/>
    <w:rsid w:val="00906791"/>
    <w:rsid w:val="00907106"/>
    <w:rsid w:val="009107FD"/>
    <w:rsid w:val="0091137C"/>
    <w:rsid w:val="00911567"/>
    <w:rsid w:val="00917AAE"/>
    <w:rsid w:val="009251A9"/>
    <w:rsid w:val="00926C56"/>
    <w:rsid w:val="00930699"/>
    <w:rsid w:val="00931F69"/>
    <w:rsid w:val="00934123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0658"/>
    <w:rsid w:val="009A1D86"/>
    <w:rsid w:val="009B049C"/>
    <w:rsid w:val="009B11C8"/>
    <w:rsid w:val="009B2BCF"/>
    <w:rsid w:val="009B2FF8"/>
    <w:rsid w:val="009B3A11"/>
    <w:rsid w:val="009B3C78"/>
    <w:rsid w:val="009B5BA3"/>
    <w:rsid w:val="009D0027"/>
    <w:rsid w:val="009D0655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2E8C"/>
    <w:rsid w:val="00A1506B"/>
    <w:rsid w:val="00A15962"/>
    <w:rsid w:val="00A17CB2"/>
    <w:rsid w:val="00A23191"/>
    <w:rsid w:val="00A319C0"/>
    <w:rsid w:val="00A33560"/>
    <w:rsid w:val="00A356E2"/>
    <w:rsid w:val="00A364E4"/>
    <w:rsid w:val="00A371A5"/>
    <w:rsid w:val="00A40A6E"/>
    <w:rsid w:val="00A45CA1"/>
    <w:rsid w:val="00A47BDF"/>
    <w:rsid w:val="00A50D58"/>
    <w:rsid w:val="00A51CD7"/>
    <w:rsid w:val="00A52ADB"/>
    <w:rsid w:val="00A533E8"/>
    <w:rsid w:val="00A542D9"/>
    <w:rsid w:val="00A56E64"/>
    <w:rsid w:val="00A60DAB"/>
    <w:rsid w:val="00A624C3"/>
    <w:rsid w:val="00A6610C"/>
    <w:rsid w:val="00A6641C"/>
    <w:rsid w:val="00A7014A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2884"/>
    <w:rsid w:val="00AB4099"/>
    <w:rsid w:val="00AB4471"/>
    <w:rsid w:val="00AB449A"/>
    <w:rsid w:val="00AC55E7"/>
    <w:rsid w:val="00AC67FC"/>
    <w:rsid w:val="00AD14F9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120B6"/>
    <w:rsid w:val="00B2219A"/>
    <w:rsid w:val="00B3581B"/>
    <w:rsid w:val="00B36B81"/>
    <w:rsid w:val="00B36FEE"/>
    <w:rsid w:val="00B37C80"/>
    <w:rsid w:val="00B47387"/>
    <w:rsid w:val="00B5092B"/>
    <w:rsid w:val="00B5194E"/>
    <w:rsid w:val="00B51AF5"/>
    <w:rsid w:val="00B531FC"/>
    <w:rsid w:val="00B55347"/>
    <w:rsid w:val="00B57E5E"/>
    <w:rsid w:val="00B61F37"/>
    <w:rsid w:val="00B70C7D"/>
    <w:rsid w:val="00B73A24"/>
    <w:rsid w:val="00B7770F"/>
    <w:rsid w:val="00B77A89"/>
    <w:rsid w:val="00B77B27"/>
    <w:rsid w:val="00B8134E"/>
    <w:rsid w:val="00B81B55"/>
    <w:rsid w:val="00B84613"/>
    <w:rsid w:val="00B86DC4"/>
    <w:rsid w:val="00B87AF0"/>
    <w:rsid w:val="00B9037B"/>
    <w:rsid w:val="00B910BD"/>
    <w:rsid w:val="00B9189C"/>
    <w:rsid w:val="00B91ECE"/>
    <w:rsid w:val="00B93834"/>
    <w:rsid w:val="00B96469"/>
    <w:rsid w:val="00BA0DA2"/>
    <w:rsid w:val="00BA2981"/>
    <w:rsid w:val="00BA2BB7"/>
    <w:rsid w:val="00BA2C77"/>
    <w:rsid w:val="00BA42EE"/>
    <w:rsid w:val="00BA48F9"/>
    <w:rsid w:val="00BA4D51"/>
    <w:rsid w:val="00BB0DCA"/>
    <w:rsid w:val="00BB2666"/>
    <w:rsid w:val="00BB3EEB"/>
    <w:rsid w:val="00BB6B80"/>
    <w:rsid w:val="00BC3773"/>
    <w:rsid w:val="00BC381A"/>
    <w:rsid w:val="00BC4CE1"/>
    <w:rsid w:val="00BD0962"/>
    <w:rsid w:val="00BD1EED"/>
    <w:rsid w:val="00BF0DA2"/>
    <w:rsid w:val="00BF109C"/>
    <w:rsid w:val="00BF2A0D"/>
    <w:rsid w:val="00BF34FA"/>
    <w:rsid w:val="00C004B6"/>
    <w:rsid w:val="00C047A7"/>
    <w:rsid w:val="00C05C95"/>
    <w:rsid w:val="00C05DE5"/>
    <w:rsid w:val="00C20AAE"/>
    <w:rsid w:val="00C33027"/>
    <w:rsid w:val="00C37667"/>
    <w:rsid w:val="00C37C1F"/>
    <w:rsid w:val="00C41603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72B2F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585B"/>
    <w:rsid w:val="00CA63EB"/>
    <w:rsid w:val="00CA69F1"/>
    <w:rsid w:val="00CB6991"/>
    <w:rsid w:val="00CC6194"/>
    <w:rsid w:val="00CC6305"/>
    <w:rsid w:val="00CC78A5"/>
    <w:rsid w:val="00CD0516"/>
    <w:rsid w:val="00CD4B99"/>
    <w:rsid w:val="00CD756B"/>
    <w:rsid w:val="00CE40DA"/>
    <w:rsid w:val="00CE734F"/>
    <w:rsid w:val="00CF112E"/>
    <w:rsid w:val="00CF3493"/>
    <w:rsid w:val="00CF5F4F"/>
    <w:rsid w:val="00D218DC"/>
    <w:rsid w:val="00D24E56"/>
    <w:rsid w:val="00D31643"/>
    <w:rsid w:val="00D31AEB"/>
    <w:rsid w:val="00D32ECD"/>
    <w:rsid w:val="00D361E4"/>
    <w:rsid w:val="00D419E4"/>
    <w:rsid w:val="00D42A8F"/>
    <w:rsid w:val="00D439F6"/>
    <w:rsid w:val="00D459C6"/>
    <w:rsid w:val="00D50729"/>
    <w:rsid w:val="00D50C19"/>
    <w:rsid w:val="00D50DEC"/>
    <w:rsid w:val="00D5190D"/>
    <w:rsid w:val="00D5379E"/>
    <w:rsid w:val="00D62643"/>
    <w:rsid w:val="00D64C0F"/>
    <w:rsid w:val="00D72EFE"/>
    <w:rsid w:val="00D76227"/>
    <w:rsid w:val="00D77DF1"/>
    <w:rsid w:val="00D84101"/>
    <w:rsid w:val="00D86AFF"/>
    <w:rsid w:val="00D95A44"/>
    <w:rsid w:val="00D95D16"/>
    <w:rsid w:val="00D97C76"/>
    <w:rsid w:val="00DB02B4"/>
    <w:rsid w:val="00DB068A"/>
    <w:rsid w:val="00DB538D"/>
    <w:rsid w:val="00DC275C"/>
    <w:rsid w:val="00DC4B0D"/>
    <w:rsid w:val="00DC7FE1"/>
    <w:rsid w:val="00DD3F3F"/>
    <w:rsid w:val="00DD5572"/>
    <w:rsid w:val="00DE5D80"/>
    <w:rsid w:val="00DF1764"/>
    <w:rsid w:val="00DF58CD"/>
    <w:rsid w:val="00DF65DE"/>
    <w:rsid w:val="00E009BD"/>
    <w:rsid w:val="00E019A5"/>
    <w:rsid w:val="00E02EC8"/>
    <w:rsid w:val="00E037F5"/>
    <w:rsid w:val="00E04ECB"/>
    <w:rsid w:val="00E05A09"/>
    <w:rsid w:val="00E06CA1"/>
    <w:rsid w:val="00E172B8"/>
    <w:rsid w:val="00E17324"/>
    <w:rsid w:val="00E17FB4"/>
    <w:rsid w:val="00E20B75"/>
    <w:rsid w:val="00E214F2"/>
    <w:rsid w:val="00E2371E"/>
    <w:rsid w:val="00E24BD7"/>
    <w:rsid w:val="00E26523"/>
    <w:rsid w:val="00E26809"/>
    <w:rsid w:val="00E3412D"/>
    <w:rsid w:val="00E4567A"/>
    <w:rsid w:val="00E57322"/>
    <w:rsid w:val="00E628CB"/>
    <w:rsid w:val="00E62AD9"/>
    <w:rsid w:val="00E638C8"/>
    <w:rsid w:val="00E7509B"/>
    <w:rsid w:val="00E86590"/>
    <w:rsid w:val="00E907FF"/>
    <w:rsid w:val="00E91C1F"/>
    <w:rsid w:val="00E92E98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90C"/>
    <w:rsid w:val="00EF2E73"/>
    <w:rsid w:val="00EF41A6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31DF3"/>
    <w:rsid w:val="00F33AE5"/>
    <w:rsid w:val="00F3597D"/>
    <w:rsid w:val="00F374D4"/>
    <w:rsid w:val="00F401C7"/>
    <w:rsid w:val="00F4376D"/>
    <w:rsid w:val="00F45399"/>
    <w:rsid w:val="00F465EA"/>
    <w:rsid w:val="00F54E7B"/>
    <w:rsid w:val="00F55A88"/>
    <w:rsid w:val="00F74005"/>
    <w:rsid w:val="00F76884"/>
    <w:rsid w:val="00F83041"/>
    <w:rsid w:val="00F83D24"/>
    <w:rsid w:val="00F83DD9"/>
    <w:rsid w:val="00F83F40"/>
    <w:rsid w:val="00FA117A"/>
    <w:rsid w:val="00FB386A"/>
    <w:rsid w:val="00FC03C2"/>
    <w:rsid w:val="00FC0786"/>
    <w:rsid w:val="00FC3745"/>
    <w:rsid w:val="00FC49EF"/>
    <w:rsid w:val="00FE36E2"/>
    <w:rsid w:val="00FE748D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8A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E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09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Pietrzak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9"/>
    <w:rsid w:val="000300B1"/>
    <w:rsid w:val="000D5DC4"/>
    <w:rsid w:val="000F1A6B"/>
    <w:rsid w:val="002304C3"/>
    <w:rsid w:val="00383DFD"/>
    <w:rsid w:val="004F6B5E"/>
    <w:rsid w:val="005D2D2E"/>
    <w:rsid w:val="00611F56"/>
    <w:rsid w:val="00614B61"/>
    <w:rsid w:val="0069635C"/>
    <w:rsid w:val="006D167C"/>
    <w:rsid w:val="007C3380"/>
    <w:rsid w:val="00846F9A"/>
    <w:rsid w:val="008C7CA2"/>
    <w:rsid w:val="009562D4"/>
    <w:rsid w:val="00A01130"/>
    <w:rsid w:val="00AC017B"/>
    <w:rsid w:val="00AD66A9"/>
    <w:rsid w:val="00C6541E"/>
    <w:rsid w:val="00D22DCB"/>
    <w:rsid w:val="00D45262"/>
    <w:rsid w:val="00E54B92"/>
    <w:rsid w:val="00E75C84"/>
    <w:rsid w:val="00F2020A"/>
    <w:rsid w:val="00F523DD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1BA6-2116-4AE1-91FE-F42DB65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15842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2023-07-04T08:50:00Z</dcterms:created>
  <dcterms:modified xsi:type="dcterms:W3CDTF">2023-07-13T13:33:00Z</dcterms:modified>
</cp:coreProperties>
</file>