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647"/>
        <w:gridCol w:w="425"/>
        <w:gridCol w:w="465"/>
        <w:gridCol w:w="414"/>
        <w:gridCol w:w="155"/>
        <w:gridCol w:w="187"/>
        <w:gridCol w:w="383"/>
        <w:gridCol w:w="192"/>
        <w:gridCol w:w="362"/>
        <w:gridCol w:w="16"/>
        <w:gridCol w:w="269"/>
        <w:gridCol w:w="300"/>
        <w:gridCol w:w="353"/>
        <w:gridCol w:w="217"/>
        <w:gridCol w:w="570"/>
        <w:gridCol w:w="80"/>
        <w:gridCol w:w="71"/>
        <w:gridCol w:w="419"/>
        <w:gridCol w:w="113"/>
        <w:gridCol w:w="90"/>
        <w:gridCol w:w="315"/>
        <w:gridCol w:w="51"/>
        <w:gridCol w:w="570"/>
        <w:gridCol w:w="317"/>
        <w:gridCol w:w="253"/>
        <w:gridCol w:w="570"/>
        <w:gridCol w:w="115"/>
        <w:gridCol w:w="1422"/>
        <w:gridCol w:w="10"/>
      </w:tblGrid>
      <w:tr w:rsidR="003C14DE" w:rsidRPr="009157D6" w14:paraId="5DCA121B" w14:textId="77777777" w:rsidTr="009B71B6">
        <w:trPr>
          <w:gridAfter w:val="1"/>
          <w:wAfter w:w="10" w:type="dxa"/>
          <w:trHeight w:val="1611"/>
        </w:trPr>
        <w:tc>
          <w:tcPr>
            <w:tcW w:w="6631" w:type="dxa"/>
            <w:gridSpan w:val="17"/>
          </w:tcPr>
          <w:p w14:paraId="0628A07E" w14:textId="77777777" w:rsidR="003C14DE" w:rsidRPr="009157D6" w:rsidRDefault="003C14DE" w:rsidP="0080211C">
            <w:pPr>
              <w:spacing w:before="120" w:after="0" w:line="240" w:lineRule="auto"/>
              <w:ind w:hanging="45"/>
              <w:rPr>
                <w:rFonts w:ascii="Times New Roman" w:hAnsi="Times New Roman" w:cs="Times New Roman"/>
                <w:color w:val="000000"/>
              </w:rPr>
            </w:pPr>
            <w:r w:rsidRPr="009157D6">
              <w:rPr>
                <w:rFonts w:ascii="Times New Roman" w:hAnsi="Times New Roman" w:cs="Times New Roman"/>
                <w:b/>
                <w:color w:val="000000"/>
              </w:rPr>
              <w:t>Nazwa projektu</w:t>
            </w:r>
          </w:p>
          <w:p w14:paraId="5FA1AB95" w14:textId="375F7C34" w:rsidR="003C14DE" w:rsidRPr="003C14DE" w:rsidRDefault="003C14DE" w:rsidP="0080211C">
            <w:pPr>
              <w:spacing w:after="0" w:line="240" w:lineRule="auto"/>
              <w:ind w:hanging="34"/>
              <w:jc w:val="both"/>
              <w:rPr>
                <w:rFonts w:ascii="Times New Roman" w:hAnsi="Times New Roman" w:cs="Times New Roman"/>
                <w:color w:val="000000"/>
              </w:rPr>
            </w:pPr>
            <w:r w:rsidRPr="003C14DE">
              <w:rPr>
                <w:rFonts w:ascii="Times New Roman" w:hAnsi="Times New Roman" w:cs="Times New Roman"/>
              </w:rPr>
              <w:t xml:space="preserve">Projekt rozporządzenia </w:t>
            </w:r>
            <w:bookmarkStart w:id="0" w:name="_Hlk116898773"/>
            <w:bookmarkStart w:id="1" w:name="_Hlk116898799"/>
            <w:r w:rsidRPr="003C14DE">
              <w:rPr>
                <w:rFonts w:ascii="Times New Roman" w:hAnsi="Times New Roman" w:cs="Times New Roman"/>
              </w:rPr>
              <w:t xml:space="preserve">Ministra </w:t>
            </w:r>
            <w:r w:rsidR="001F2F8D">
              <w:rPr>
                <w:rFonts w:ascii="Times New Roman" w:hAnsi="Times New Roman" w:cs="Times New Roman"/>
              </w:rPr>
              <w:t>Klimatu</w:t>
            </w:r>
            <w:r w:rsidRPr="003C14DE">
              <w:rPr>
                <w:rFonts w:ascii="Times New Roman" w:hAnsi="Times New Roman" w:cs="Times New Roman"/>
              </w:rPr>
              <w:t xml:space="preserve"> </w:t>
            </w:r>
            <w:r w:rsidR="0016384D">
              <w:rPr>
                <w:rFonts w:ascii="Times New Roman" w:hAnsi="Times New Roman" w:cs="Times New Roman"/>
              </w:rPr>
              <w:t>i Środowiska</w:t>
            </w:r>
            <w:bookmarkEnd w:id="0"/>
            <w:r w:rsidR="0016384D">
              <w:rPr>
                <w:rFonts w:ascii="Times New Roman" w:hAnsi="Times New Roman" w:cs="Times New Roman"/>
              </w:rPr>
              <w:t xml:space="preserve"> </w:t>
            </w:r>
            <w:r w:rsidRPr="003C14DE">
              <w:rPr>
                <w:rFonts w:ascii="Times New Roman" w:hAnsi="Times New Roman" w:cs="Times New Roman"/>
              </w:rPr>
              <w:t xml:space="preserve">w sprawie </w:t>
            </w:r>
            <w:r>
              <w:rPr>
                <w:rFonts w:ascii="Times New Roman" w:hAnsi="Times New Roman" w:cs="Times New Roman"/>
              </w:rPr>
              <w:t xml:space="preserve">wysokości stawki </w:t>
            </w:r>
            <w:r w:rsidRPr="003C14DE">
              <w:rPr>
                <w:rFonts w:ascii="Times New Roman" w:hAnsi="Times New Roman" w:cs="Times New Roman"/>
              </w:rPr>
              <w:t>opłaty kogeneracyjnej na rok 202</w:t>
            </w:r>
            <w:r w:rsidR="00F04E1C">
              <w:rPr>
                <w:rFonts w:ascii="Times New Roman" w:hAnsi="Times New Roman" w:cs="Times New Roman"/>
              </w:rPr>
              <w:t>4</w:t>
            </w:r>
            <w:r w:rsidRPr="003C14DE">
              <w:rPr>
                <w:rFonts w:ascii="Times New Roman" w:hAnsi="Times New Roman" w:cs="Times New Roman"/>
              </w:rPr>
              <w:t>.</w:t>
            </w:r>
            <w:bookmarkEnd w:id="1"/>
          </w:p>
          <w:p w14:paraId="58405A9B" w14:textId="77777777" w:rsidR="003C14DE" w:rsidRPr="009157D6" w:rsidRDefault="003C14DE" w:rsidP="0080211C">
            <w:pPr>
              <w:spacing w:before="120" w:after="0" w:line="240" w:lineRule="auto"/>
              <w:ind w:hanging="45"/>
              <w:rPr>
                <w:rFonts w:ascii="Times New Roman" w:hAnsi="Times New Roman" w:cs="Times New Roman"/>
                <w:b/>
                <w:color w:val="000000"/>
              </w:rPr>
            </w:pPr>
            <w:r w:rsidRPr="009157D6">
              <w:rPr>
                <w:rFonts w:ascii="Times New Roman" w:hAnsi="Times New Roman" w:cs="Times New Roman"/>
                <w:b/>
                <w:color w:val="000000"/>
              </w:rPr>
              <w:t>Ministerstwo wiodące i ministerstwa współpracujące</w:t>
            </w:r>
          </w:p>
          <w:p w14:paraId="37E0C03B" w14:textId="77777777" w:rsidR="003C14DE" w:rsidRPr="009157D6" w:rsidRDefault="003C14DE" w:rsidP="0080211C">
            <w:pPr>
              <w:spacing w:after="0" w:line="276" w:lineRule="auto"/>
              <w:rPr>
                <w:rFonts w:ascii="Times New Roman" w:hAnsi="Times New Roman" w:cs="Times New Roman"/>
              </w:rPr>
            </w:pPr>
            <w:r w:rsidRPr="009157D6">
              <w:rPr>
                <w:rFonts w:ascii="Times New Roman" w:hAnsi="Times New Roman" w:cs="Times New Roman"/>
              </w:rPr>
              <w:t xml:space="preserve">Ministerstwo </w:t>
            </w:r>
            <w:r w:rsidR="001F2F8D">
              <w:rPr>
                <w:rFonts w:ascii="Times New Roman" w:hAnsi="Times New Roman" w:cs="Times New Roman"/>
              </w:rPr>
              <w:t>Klimatu</w:t>
            </w:r>
            <w:r w:rsidR="0016384D">
              <w:rPr>
                <w:rFonts w:ascii="Times New Roman" w:hAnsi="Times New Roman" w:cs="Times New Roman"/>
              </w:rPr>
              <w:t xml:space="preserve"> i Środowiska</w:t>
            </w:r>
          </w:p>
          <w:p w14:paraId="443B5BB1" w14:textId="55E1722F" w:rsidR="003C14DE" w:rsidRPr="009157D6" w:rsidRDefault="003C14DE" w:rsidP="0080211C">
            <w:pPr>
              <w:spacing w:before="120" w:after="0" w:line="240" w:lineRule="auto"/>
              <w:rPr>
                <w:rFonts w:ascii="Times New Roman" w:hAnsi="Times New Roman" w:cs="Times New Roman"/>
                <w:b/>
              </w:rPr>
            </w:pPr>
            <w:r w:rsidRPr="009157D6">
              <w:rPr>
                <w:rFonts w:ascii="Times New Roman" w:hAnsi="Times New Roman" w:cs="Times New Roman"/>
                <w:b/>
              </w:rPr>
              <w:t xml:space="preserve">Osoba odpowiedzialna za projekt w randze Ministra, Sekretarza Stanu lub Podsekretarza Stanu </w:t>
            </w:r>
          </w:p>
          <w:p w14:paraId="34398159" w14:textId="60257AB6" w:rsidR="003C14DE" w:rsidRPr="009157D6" w:rsidRDefault="00733A0A" w:rsidP="0080211C">
            <w:pPr>
              <w:spacing w:after="0" w:line="240" w:lineRule="auto"/>
              <w:rPr>
                <w:rFonts w:ascii="Times New Roman" w:hAnsi="Times New Roman" w:cs="Times New Roman"/>
              </w:rPr>
            </w:pPr>
            <w:r>
              <w:rPr>
                <w:rFonts w:ascii="Times New Roman" w:hAnsi="Times New Roman" w:cs="Times New Roman"/>
              </w:rPr>
              <w:t xml:space="preserve">Anna </w:t>
            </w:r>
            <w:r w:rsidR="00F04E1C">
              <w:rPr>
                <w:rFonts w:ascii="Times New Roman" w:hAnsi="Times New Roman" w:cs="Times New Roman"/>
              </w:rPr>
              <w:t>Moskwa – Minister Klimatu i Środowiska</w:t>
            </w:r>
          </w:p>
          <w:p w14:paraId="1D240A54" w14:textId="53B02A32" w:rsidR="003C14DE" w:rsidRPr="009157D6" w:rsidRDefault="003C14DE" w:rsidP="0080211C">
            <w:pPr>
              <w:spacing w:before="120" w:after="0" w:line="240" w:lineRule="auto"/>
              <w:ind w:hanging="45"/>
              <w:rPr>
                <w:rFonts w:ascii="Times New Roman" w:hAnsi="Times New Roman" w:cs="Times New Roman"/>
                <w:b/>
                <w:color w:val="000000"/>
              </w:rPr>
            </w:pPr>
            <w:r w:rsidRPr="009157D6">
              <w:rPr>
                <w:rFonts w:ascii="Times New Roman" w:hAnsi="Times New Roman" w:cs="Times New Roman"/>
                <w:b/>
                <w:color w:val="000000"/>
              </w:rPr>
              <w:t>Kontakt do opiekuna merytorycznego projektu</w:t>
            </w:r>
          </w:p>
          <w:p w14:paraId="0AACE793" w14:textId="7BE44CBF" w:rsidR="003C14DE" w:rsidRPr="00170E0A" w:rsidRDefault="00F04E1C" w:rsidP="00F35030">
            <w:pPr>
              <w:spacing w:after="0" w:line="276" w:lineRule="auto"/>
              <w:rPr>
                <w:rFonts w:ascii="Times New Roman" w:hAnsi="Times New Roman" w:cs="Times New Roman"/>
              </w:rPr>
            </w:pPr>
            <w:r w:rsidRPr="00170E0A">
              <w:rPr>
                <w:rFonts w:ascii="Times New Roman" w:hAnsi="Times New Roman" w:cs="Times New Roman"/>
              </w:rPr>
              <w:t>Paweł Bogusławski</w:t>
            </w:r>
            <w:r w:rsidR="001F2F8D" w:rsidRPr="00170E0A">
              <w:rPr>
                <w:rFonts w:ascii="Times New Roman" w:hAnsi="Times New Roman" w:cs="Times New Roman"/>
              </w:rPr>
              <w:t xml:space="preserve"> </w:t>
            </w:r>
            <w:r w:rsidR="003C14DE" w:rsidRPr="00170E0A">
              <w:rPr>
                <w:rFonts w:ascii="Times New Roman" w:hAnsi="Times New Roman" w:cs="Times New Roman"/>
              </w:rPr>
              <w:t>(adres e-mail:</w:t>
            </w:r>
            <w:r w:rsidR="00F35030" w:rsidRPr="00170E0A">
              <w:rPr>
                <w:rFonts w:ascii="Times New Roman" w:hAnsi="Times New Roman" w:cs="Times New Roman"/>
              </w:rPr>
              <w:t xml:space="preserve"> </w:t>
            </w:r>
            <w:r w:rsidRPr="00170E0A">
              <w:rPr>
                <w:rFonts w:ascii="Times New Roman" w:hAnsi="Times New Roman" w:cs="Times New Roman"/>
              </w:rPr>
              <w:t>pawel.boguslawski</w:t>
            </w:r>
            <w:r w:rsidR="00F35030" w:rsidRPr="00170E0A">
              <w:rPr>
                <w:rFonts w:ascii="Times New Roman" w:hAnsi="Times New Roman" w:cs="Times New Roman"/>
              </w:rPr>
              <w:t>@</w:t>
            </w:r>
            <w:r w:rsidRPr="00170E0A">
              <w:rPr>
                <w:rFonts w:ascii="Times New Roman" w:hAnsi="Times New Roman" w:cs="Times New Roman"/>
              </w:rPr>
              <w:t>klimat</w:t>
            </w:r>
            <w:r w:rsidR="001F2F8D" w:rsidRPr="00170E0A">
              <w:rPr>
                <w:rFonts w:ascii="Times New Roman" w:hAnsi="Times New Roman" w:cs="Times New Roman"/>
              </w:rPr>
              <w:t>.gov.pl;</w:t>
            </w:r>
            <w:r w:rsidR="00D52BA2" w:rsidRPr="00D52BA2">
              <w:rPr>
                <w:rFonts w:ascii="Times New Roman" w:eastAsia="Calibri" w:hAnsi="Times New Roman" w:cs="Times New Roman"/>
                <w:color w:val="000000"/>
                <w:spacing w:val="-2"/>
              </w:rPr>
              <w:t xml:space="preserve"> tel. 22 369 16 57)</w:t>
            </w:r>
            <w:r w:rsidR="0022241A">
              <w:rPr>
                <w:rFonts w:ascii="Times New Roman" w:eastAsia="Calibri" w:hAnsi="Times New Roman" w:cs="Times New Roman"/>
                <w:color w:val="000000"/>
                <w:spacing w:val="-2"/>
              </w:rPr>
              <w:t xml:space="preserve"> </w:t>
            </w:r>
          </w:p>
        </w:tc>
        <w:tc>
          <w:tcPr>
            <w:tcW w:w="4306" w:type="dxa"/>
            <w:gridSpan w:val="12"/>
            <w:shd w:val="clear" w:color="auto" w:fill="FFFFFF"/>
          </w:tcPr>
          <w:p w14:paraId="263CA894" w14:textId="17907E23" w:rsidR="003C14DE" w:rsidRPr="009157D6" w:rsidRDefault="003C14DE" w:rsidP="009B71B6">
            <w:pPr>
              <w:spacing w:line="240" w:lineRule="auto"/>
              <w:rPr>
                <w:rFonts w:ascii="Times New Roman" w:hAnsi="Times New Roman" w:cs="Times New Roman"/>
                <w:b/>
              </w:rPr>
            </w:pPr>
            <w:r w:rsidRPr="009157D6">
              <w:rPr>
                <w:rFonts w:ascii="Times New Roman" w:hAnsi="Times New Roman" w:cs="Times New Roman"/>
                <w:b/>
              </w:rPr>
              <w:t>Data sporządzenia</w:t>
            </w:r>
            <w:r w:rsidRPr="009157D6">
              <w:rPr>
                <w:rFonts w:ascii="Times New Roman" w:hAnsi="Times New Roman" w:cs="Times New Roman"/>
                <w:b/>
              </w:rPr>
              <w:br/>
            </w:r>
            <w:r w:rsidR="00B72583">
              <w:rPr>
                <w:rFonts w:ascii="Times New Roman" w:hAnsi="Times New Roman" w:cs="Times New Roman"/>
              </w:rPr>
              <w:t>1</w:t>
            </w:r>
            <w:r w:rsidR="00E10DA3">
              <w:rPr>
                <w:rFonts w:ascii="Times New Roman" w:hAnsi="Times New Roman" w:cs="Times New Roman"/>
              </w:rPr>
              <w:t>3</w:t>
            </w:r>
            <w:r w:rsidR="00F04E1C">
              <w:rPr>
                <w:rFonts w:ascii="Times New Roman" w:hAnsi="Times New Roman" w:cs="Times New Roman"/>
              </w:rPr>
              <w:t>-0</w:t>
            </w:r>
            <w:r w:rsidR="00B72583">
              <w:rPr>
                <w:rFonts w:ascii="Times New Roman" w:hAnsi="Times New Roman" w:cs="Times New Roman"/>
              </w:rPr>
              <w:t>9</w:t>
            </w:r>
            <w:r w:rsidR="00F04E1C">
              <w:rPr>
                <w:rFonts w:ascii="Times New Roman" w:hAnsi="Times New Roman" w:cs="Times New Roman"/>
              </w:rPr>
              <w:t>-2023 r.</w:t>
            </w:r>
          </w:p>
          <w:p w14:paraId="0363E0D5" w14:textId="256D2FBE" w:rsidR="000E1E6E" w:rsidRDefault="003C14DE" w:rsidP="009B71B6">
            <w:pPr>
              <w:spacing w:line="240" w:lineRule="auto"/>
              <w:rPr>
                <w:rFonts w:ascii="Times New Roman" w:hAnsi="Times New Roman" w:cs="Times New Roman"/>
                <w:b/>
              </w:rPr>
            </w:pPr>
            <w:r w:rsidRPr="009157D6">
              <w:rPr>
                <w:rFonts w:ascii="Times New Roman" w:hAnsi="Times New Roman" w:cs="Times New Roman"/>
                <w:b/>
              </w:rPr>
              <w:t xml:space="preserve">Źródło: </w:t>
            </w:r>
          </w:p>
          <w:p w14:paraId="4BAFCB99" w14:textId="7F1B1233" w:rsidR="003C14DE" w:rsidRPr="009157D6" w:rsidRDefault="003C14DE" w:rsidP="009B71B6">
            <w:pPr>
              <w:spacing w:line="240" w:lineRule="auto"/>
              <w:rPr>
                <w:rFonts w:ascii="Times New Roman" w:hAnsi="Times New Roman" w:cs="Times New Roman"/>
              </w:rPr>
            </w:pPr>
            <w:bookmarkStart w:id="2" w:name="_Hlk85701988"/>
            <w:r w:rsidRPr="003C14DE">
              <w:rPr>
                <w:rFonts w:ascii="Times New Roman" w:hAnsi="Times New Roman" w:cs="Times New Roman"/>
              </w:rPr>
              <w:t>art. 64 ust. 4 ustawy z</w:t>
            </w:r>
            <w:r w:rsidRPr="009157D6">
              <w:rPr>
                <w:rFonts w:ascii="Times New Roman" w:hAnsi="Times New Roman" w:cs="Times New Roman"/>
              </w:rPr>
              <w:t xml:space="preserve"> dnia 14 grudnia 2018 r. </w:t>
            </w:r>
            <w:r w:rsidRPr="00035C5F">
              <w:rPr>
                <w:rFonts w:ascii="Times New Roman" w:hAnsi="Times New Roman" w:cs="Times New Roman"/>
                <w:iCs/>
              </w:rPr>
              <w:t>o promowaniu energii elektrycznej z wysokosprawnej kogeneracji</w:t>
            </w:r>
            <w:r w:rsidRPr="009157D6">
              <w:rPr>
                <w:rFonts w:ascii="Times New Roman" w:hAnsi="Times New Roman" w:cs="Times New Roman"/>
              </w:rPr>
              <w:t xml:space="preserve"> </w:t>
            </w:r>
            <w:bookmarkEnd w:id="2"/>
            <w:r w:rsidR="008A3612" w:rsidRPr="008A3612">
              <w:rPr>
                <w:rFonts w:ascii="Times New Roman" w:hAnsi="Times New Roman" w:cs="Times New Roman"/>
              </w:rPr>
              <w:t>(Dz.U. z 2022 r. poz. 553)</w:t>
            </w:r>
          </w:p>
          <w:p w14:paraId="71D39A0E" w14:textId="06BEE48F" w:rsidR="003C14DE" w:rsidRPr="009157D6" w:rsidRDefault="003C14DE" w:rsidP="00F35030">
            <w:pPr>
              <w:spacing w:line="240" w:lineRule="auto"/>
              <w:rPr>
                <w:rFonts w:ascii="Times New Roman" w:hAnsi="Times New Roman" w:cs="Times New Roman"/>
                <w:color w:val="000000"/>
              </w:rPr>
            </w:pPr>
            <w:r w:rsidRPr="009157D6">
              <w:rPr>
                <w:rFonts w:ascii="Times New Roman" w:hAnsi="Times New Roman" w:cs="Times New Roman"/>
                <w:b/>
                <w:color w:val="000000"/>
              </w:rPr>
              <w:t xml:space="preserve">Nr w wykazie prac </w:t>
            </w:r>
            <w:r w:rsidR="00580FC3" w:rsidRPr="00035C5F">
              <w:rPr>
                <w:rFonts w:ascii="Times New Roman" w:hAnsi="Times New Roman" w:cs="Times New Roman"/>
                <w:b/>
              </w:rPr>
              <w:t xml:space="preserve">legislacyjnych Ministra Klimatu i Środowiska: </w:t>
            </w:r>
          </w:p>
        </w:tc>
      </w:tr>
      <w:tr w:rsidR="003C14DE" w:rsidRPr="009157D6" w14:paraId="35106FC5" w14:textId="77777777" w:rsidTr="009B71B6">
        <w:trPr>
          <w:gridAfter w:val="1"/>
          <w:wAfter w:w="10" w:type="dxa"/>
          <w:trHeight w:val="142"/>
        </w:trPr>
        <w:tc>
          <w:tcPr>
            <w:tcW w:w="10937" w:type="dxa"/>
            <w:gridSpan w:val="29"/>
            <w:shd w:val="clear" w:color="auto" w:fill="99CCFF"/>
          </w:tcPr>
          <w:p w14:paraId="2C257BF0" w14:textId="77777777" w:rsidR="003C14DE" w:rsidRPr="009157D6" w:rsidRDefault="003C14DE" w:rsidP="009B71B6">
            <w:pPr>
              <w:spacing w:line="240" w:lineRule="auto"/>
              <w:ind w:left="57"/>
              <w:jc w:val="center"/>
              <w:rPr>
                <w:rFonts w:ascii="Times New Roman" w:hAnsi="Times New Roman" w:cs="Times New Roman"/>
                <w:b/>
                <w:color w:val="FFFFFF"/>
              </w:rPr>
            </w:pPr>
            <w:r w:rsidRPr="009157D6">
              <w:rPr>
                <w:rFonts w:ascii="Times New Roman" w:hAnsi="Times New Roman" w:cs="Times New Roman"/>
                <w:b/>
                <w:color w:val="FFFFFF"/>
              </w:rPr>
              <w:t>OCENA SKUTKÓW REGULACJI</w:t>
            </w:r>
          </w:p>
        </w:tc>
      </w:tr>
      <w:tr w:rsidR="003C14DE" w:rsidRPr="009157D6" w14:paraId="5CD77B18" w14:textId="77777777" w:rsidTr="009B71B6">
        <w:trPr>
          <w:gridAfter w:val="1"/>
          <w:wAfter w:w="10" w:type="dxa"/>
          <w:trHeight w:val="333"/>
        </w:trPr>
        <w:tc>
          <w:tcPr>
            <w:tcW w:w="10937" w:type="dxa"/>
            <w:gridSpan w:val="29"/>
            <w:shd w:val="clear" w:color="auto" w:fill="99CCFF"/>
            <w:vAlign w:val="center"/>
          </w:tcPr>
          <w:p w14:paraId="529C9A47" w14:textId="77777777" w:rsidR="003C14DE" w:rsidRPr="009157D6" w:rsidRDefault="003C14DE" w:rsidP="009B71B6">
            <w:pPr>
              <w:widowControl w:val="0"/>
              <w:numPr>
                <w:ilvl w:val="0"/>
                <w:numId w:val="1"/>
              </w:numPr>
              <w:autoSpaceDE w:val="0"/>
              <w:autoSpaceDN w:val="0"/>
              <w:adjustRightInd w:val="0"/>
              <w:spacing w:before="60" w:after="60" w:line="276" w:lineRule="auto"/>
              <w:ind w:left="318" w:hanging="284"/>
              <w:jc w:val="both"/>
              <w:rPr>
                <w:rFonts w:ascii="Times New Roman" w:hAnsi="Times New Roman" w:cs="Times New Roman"/>
                <w:b/>
                <w:color w:val="000000"/>
              </w:rPr>
            </w:pPr>
            <w:r w:rsidRPr="009157D6">
              <w:rPr>
                <w:rFonts w:ascii="Times New Roman" w:hAnsi="Times New Roman" w:cs="Times New Roman"/>
                <w:b/>
              </w:rPr>
              <w:t>Jaki problem jest rozwiązywany?</w:t>
            </w:r>
          </w:p>
        </w:tc>
      </w:tr>
      <w:tr w:rsidR="003C14DE" w:rsidRPr="009157D6" w14:paraId="24591658" w14:textId="77777777" w:rsidTr="00FB7FD3">
        <w:trPr>
          <w:gridAfter w:val="1"/>
          <w:wAfter w:w="10" w:type="dxa"/>
          <w:trHeight w:val="2153"/>
        </w:trPr>
        <w:tc>
          <w:tcPr>
            <w:tcW w:w="10937" w:type="dxa"/>
            <w:gridSpan w:val="29"/>
            <w:shd w:val="clear" w:color="auto" w:fill="FFFFFF"/>
          </w:tcPr>
          <w:p w14:paraId="519A37BC" w14:textId="1A3F6B21" w:rsidR="003C14DE" w:rsidRPr="00F04E1C" w:rsidRDefault="003C14DE" w:rsidP="00733A0A">
            <w:pPr>
              <w:spacing w:after="240" w:line="276" w:lineRule="auto"/>
              <w:ind w:hanging="34"/>
              <w:jc w:val="both"/>
              <w:rPr>
                <w:rFonts w:ascii="Times New Roman" w:hAnsi="Times New Roman" w:cs="Times New Roman"/>
              </w:rPr>
            </w:pPr>
            <w:r w:rsidRPr="00F04E1C">
              <w:rPr>
                <w:rFonts w:ascii="Times New Roman" w:hAnsi="Times New Roman" w:cs="Times New Roman"/>
              </w:rPr>
              <w:t>Art. 64 ust. 4 ustawy z dnia 14 grudnia 2018 r. o promowaniu energii elektrycznej z wysokosprawnej kogeneracji, zwanej dalej „ustawą”, nakłada na ministra właściwego do spraw energii</w:t>
            </w:r>
            <w:r w:rsidR="000E1E6E">
              <w:rPr>
                <w:rFonts w:ascii="Times New Roman" w:hAnsi="Times New Roman" w:cs="Times New Roman"/>
              </w:rPr>
              <w:t xml:space="preserve"> obowiązek określenia</w:t>
            </w:r>
            <w:r w:rsidR="008E7F13" w:rsidRPr="00F04E1C">
              <w:rPr>
                <w:rFonts w:ascii="Times New Roman" w:hAnsi="Times New Roman" w:cs="Times New Roman"/>
              </w:rPr>
              <w:t>,</w:t>
            </w:r>
            <w:r w:rsidRPr="00F04E1C">
              <w:rPr>
                <w:rFonts w:ascii="Times New Roman" w:hAnsi="Times New Roman" w:cs="Times New Roman"/>
              </w:rPr>
              <w:t xml:space="preserve"> </w:t>
            </w:r>
            <w:r w:rsidR="008E7F13" w:rsidRPr="00F04E1C">
              <w:rPr>
                <w:rFonts w:ascii="Times New Roman" w:hAnsi="Times New Roman" w:cs="Times New Roman"/>
              </w:rPr>
              <w:t xml:space="preserve">po zasięgnięciu opinii Prezesa </w:t>
            </w:r>
            <w:r w:rsidR="00580FC3" w:rsidRPr="00F04E1C">
              <w:rPr>
                <w:rFonts w:ascii="Times New Roman" w:hAnsi="Times New Roman" w:cs="Times New Roman"/>
              </w:rPr>
              <w:t>Urzędu Regulacji Energetyki</w:t>
            </w:r>
            <w:r w:rsidR="008E7F13" w:rsidRPr="00F04E1C">
              <w:rPr>
                <w:rFonts w:ascii="Times New Roman" w:hAnsi="Times New Roman" w:cs="Times New Roman"/>
              </w:rPr>
              <w:t>,</w:t>
            </w:r>
            <w:r w:rsidRPr="00F04E1C">
              <w:rPr>
                <w:rFonts w:ascii="Times New Roman" w:hAnsi="Times New Roman" w:cs="Times New Roman"/>
              </w:rPr>
              <w:t xml:space="preserve"> w drodze rozporządzenia, wysokości stawki opłaty kogeneracyjnej</w:t>
            </w:r>
            <w:r w:rsidR="00085B17" w:rsidRPr="00F04E1C">
              <w:rPr>
                <w:rFonts w:ascii="Times New Roman" w:hAnsi="Times New Roman" w:cs="Times New Roman"/>
              </w:rPr>
              <w:t>. Ma ona zapewnić odpowiednie</w:t>
            </w:r>
            <w:r w:rsidR="00322F94" w:rsidRPr="00F04E1C">
              <w:rPr>
                <w:rFonts w:ascii="Times New Roman" w:hAnsi="Times New Roman" w:cs="Times New Roman"/>
              </w:rPr>
              <w:t xml:space="preserve"> finansowanie mechanizmu wsparcia energii elektrycznej z wysokosprawnej kogeneracji w 202</w:t>
            </w:r>
            <w:r w:rsidR="00F04E1C">
              <w:rPr>
                <w:rFonts w:ascii="Times New Roman" w:hAnsi="Times New Roman" w:cs="Times New Roman"/>
              </w:rPr>
              <w:t>4</w:t>
            </w:r>
            <w:r w:rsidR="00FC0931" w:rsidRPr="00F04E1C">
              <w:rPr>
                <w:rFonts w:ascii="Times New Roman" w:hAnsi="Times New Roman" w:cs="Times New Roman"/>
              </w:rPr>
              <w:t xml:space="preserve"> r</w:t>
            </w:r>
            <w:r w:rsidR="00322F94" w:rsidRPr="00F04E1C">
              <w:rPr>
                <w:rFonts w:ascii="Times New Roman" w:hAnsi="Times New Roman" w:cs="Times New Roman"/>
              </w:rPr>
              <w:t>.</w:t>
            </w:r>
            <w:r w:rsidR="00F96643" w:rsidRPr="00F04E1C">
              <w:rPr>
                <w:rFonts w:ascii="Times New Roman" w:eastAsia="Calibri" w:hAnsi="Times New Roman" w:cs="Times New Roman"/>
              </w:rPr>
              <w:t xml:space="preserve"> </w:t>
            </w:r>
            <w:r w:rsidR="0060487B" w:rsidRPr="00F04E1C">
              <w:rPr>
                <w:rFonts w:ascii="Times New Roman" w:eastAsia="Calibri" w:hAnsi="Times New Roman" w:cs="Times New Roman"/>
              </w:rPr>
              <w:t xml:space="preserve">Niniejszy obowiązek </w:t>
            </w:r>
            <w:r w:rsidR="006647DE" w:rsidRPr="00F04E1C">
              <w:rPr>
                <w:rFonts w:ascii="Times New Roman" w:eastAsia="Calibri" w:hAnsi="Times New Roman" w:cs="Times New Roman"/>
              </w:rPr>
              <w:t>zostanie</w:t>
            </w:r>
            <w:r w:rsidR="0060487B" w:rsidRPr="00F04E1C">
              <w:rPr>
                <w:rFonts w:ascii="Times New Roman" w:eastAsia="Calibri" w:hAnsi="Times New Roman" w:cs="Times New Roman"/>
              </w:rPr>
              <w:t xml:space="preserve"> wyko</w:t>
            </w:r>
            <w:r w:rsidR="006647DE" w:rsidRPr="00F04E1C">
              <w:rPr>
                <w:rFonts w:ascii="Times New Roman" w:eastAsia="Calibri" w:hAnsi="Times New Roman" w:cs="Times New Roman"/>
              </w:rPr>
              <w:t>nany</w:t>
            </w:r>
            <w:r w:rsidR="0060487B" w:rsidRPr="00F04E1C">
              <w:rPr>
                <w:rFonts w:ascii="Times New Roman" w:eastAsia="Calibri" w:hAnsi="Times New Roman" w:cs="Times New Roman"/>
              </w:rPr>
              <w:t xml:space="preserve"> przez wydanie </w:t>
            </w:r>
            <w:r w:rsidR="0060487B" w:rsidRPr="00F04E1C">
              <w:rPr>
                <w:rFonts w:ascii="Times New Roman" w:hAnsi="Times New Roman" w:cs="Times New Roman"/>
              </w:rPr>
              <w:t>rozporządzenia Ministra Klimatu i Środowiska w sprawie wysokości stawki opłaty kogeneracyjnej na 202</w:t>
            </w:r>
            <w:r w:rsidR="00F04E1C">
              <w:rPr>
                <w:rFonts w:ascii="Times New Roman" w:hAnsi="Times New Roman" w:cs="Times New Roman"/>
              </w:rPr>
              <w:t>4</w:t>
            </w:r>
            <w:r w:rsidR="00FC0931" w:rsidRPr="00F04E1C">
              <w:rPr>
                <w:rFonts w:ascii="Times New Roman" w:hAnsi="Times New Roman" w:cs="Times New Roman"/>
              </w:rPr>
              <w:t xml:space="preserve"> r.</w:t>
            </w:r>
            <w:r w:rsidR="000E1E6E">
              <w:rPr>
                <w:rFonts w:ascii="Times New Roman" w:hAnsi="Times New Roman" w:cs="Times New Roman"/>
              </w:rPr>
              <w:t xml:space="preserve">, </w:t>
            </w:r>
            <w:r w:rsidR="0060487B" w:rsidRPr="00F04E1C">
              <w:rPr>
                <w:rFonts w:ascii="Times New Roman" w:hAnsi="Times New Roman" w:cs="Times New Roman"/>
              </w:rPr>
              <w:t>zwane dalej „projektem rozporządzenia”.</w:t>
            </w:r>
          </w:p>
        </w:tc>
      </w:tr>
      <w:tr w:rsidR="003C14DE" w:rsidRPr="009157D6" w14:paraId="0581576A" w14:textId="77777777" w:rsidTr="009B71B6">
        <w:trPr>
          <w:gridAfter w:val="1"/>
          <w:wAfter w:w="10" w:type="dxa"/>
          <w:trHeight w:val="142"/>
        </w:trPr>
        <w:tc>
          <w:tcPr>
            <w:tcW w:w="10937" w:type="dxa"/>
            <w:gridSpan w:val="29"/>
            <w:shd w:val="clear" w:color="auto" w:fill="99CCFF"/>
            <w:vAlign w:val="center"/>
          </w:tcPr>
          <w:p w14:paraId="08BAE8CB" w14:textId="77777777" w:rsidR="003C14DE" w:rsidRPr="00F04E1C" w:rsidRDefault="003C14DE" w:rsidP="009B71B6">
            <w:pPr>
              <w:widowControl w:val="0"/>
              <w:numPr>
                <w:ilvl w:val="0"/>
                <w:numId w:val="1"/>
              </w:numPr>
              <w:autoSpaceDE w:val="0"/>
              <w:autoSpaceDN w:val="0"/>
              <w:adjustRightInd w:val="0"/>
              <w:spacing w:before="60" w:after="60" w:line="276" w:lineRule="auto"/>
              <w:ind w:left="318" w:hanging="284"/>
              <w:jc w:val="both"/>
              <w:rPr>
                <w:rFonts w:ascii="Times New Roman" w:hAnsi="Times New Roman" w:cs="Times New Roman"/>
                <w:b/>
                <w:color w:val="000000"/>
              </w:rPr>
            </w:pPr>
            <w:r w:rsidRPr="00F04E1C">
              <w:rPr>
                <w:rFonts w:ascii="Times New Roman" w:hAnsi="Times New Roman" w:cs="Times New Roman"/>
                <w:b/>
                <w:color w:val="000000"/>
                <w:spacing w:val="-2"/>
              </w:rPr>
              <w:t>Rekomendowane rozwiązanie, w tym planowane narzędzia interwencji, i oczekiwany efekt</w:t>
            </w:r>
          </w:p>
        </w:tc>
      </w:tr>
      <w:tr w:rsidR="003C14DE" w:rsidRPr="009157D6" w14:paraId="46E3D2E4" w14:textId="77777777" w:rsidTr="009B71B6">
        <w:trPr>
          <w:gridAfter w:val="1"/>
          <w:wAfter w:w="10" w:type="dxa"/>
          <w:trHeight w:val="142"/>
        </w:trPr>
        <w:tc>
          <w:tcPr>
            <w:tcW w:w="10937" w:type="dxa"/>
            <w:gridSpan w:val="29"/>
          </w:tcPr>
          <w:p w14:paraId="4E0342AB" w14:textId="2E3D3AC4" w:rsidR="00322F94" w:rsidRPr="00E10DA3" w:rsidRDefault="00322F94" w:rsidP="009B71B6">
            <w:pPr>
              <w:spacing w:before="120" w:line="276" w:lineRule="auto"/>
              <w:jc w:val="both"/>
              <w:rPr>
                <w:rFonts w:ascii="Times New Roman" w:hAnsi="Times New Roman" w:cs="Times New Roman"/>
              </w:rPr>
            </w:pPr>
            <w:r w:rsidRPr="00E10DA3">
              <w:rPr>
                <w:rFonts w:ascii="Times New Roman" w:hAnsi="Times New Roman" w:cs="Times New Roman"/>
              </w:rPr>
              <w:t>Mechanizm wsparcia energii elektrycznej z wysokosprawnej kogeneracji, wprowadzony w życie ustawą, finansowany jest z opłaty kogeneracyjnej</w:t>
            </w:r>
            <w:r w:rsidR="0055488E" w:rsidRPr="00E10DA3">
              <w:rPr>
                <w:rFonts w:ascii="Times New Roman" w:hAnsi="Times New Roman" w:cs="Times New Roman"/>
              </w:rPr>
              <w:t xml:space="preserve"> </w:t>
            </w:r>
            <w:r w:rsidRPr="00E10DA3">
              <w:rPr>
                <w:rFonts w:ascii="Times New Roman" w:hAnsi="Times New Roman" w:cs="Times New Roman"/>
              </w:rPr>
              <w:t>w ramach taryf operatorów systemów elektroenergetycznych, co oznacza, że koszty funkcjonowania wsparcia przeniesione są na wszystkich odbiorców energii elektrycznej proporcjonalnie do wolumenu pobieranej energii. Środki uzyskane z tytułu pobrania opłaty kogeneracyjn</w:t>
            </w:r>
            <w:r w:rsidR="008B0946" w:rsidRPr="00E10DA3">
              <w:rPr>
                <w:rFonts w:ascii="Times New Roman" w:hAnsi="Times New Roman" w:cs="Times New Roman"/>
              </w:rPr>
              <w:t>ej</w:t>
            </w:r>
            <w:r w:rsidRPr="00E10DA3">
              <w:rPr>
                <w:rFonts w:ascii="Times New Roman" w:hAnsi="Times New Roman" w:cs="Times New Roman"/>
              </w:rPr>
              <w:t xml:space="preserve"> przekazywane są przez operatora s</w:t>
            </w:r>
            <w:r w:rsidR="004E41BC" w:rsidRPr="00E10DA3">
              <w:rPr>
                <w:rFonts w:ascii="Times New Roman" w:hAnsi="Times New Roman" w:cs="Times New Roman"/>
              </w:rPr>
              <w:t>ystemu przesyłowego</w:t>
            </w:r>
            <w:r w:rsidRPr="00E10DA3">
              <w:rPr>
                <w:rFonts w:ascii="Times New Roman" w:hAnsi="Times New Roman" w:cs="Times New Roman"/>
              </w:rPr>
              <w:t xml:space="preserve"> do operatora rozliczeń odpowiedzialnego za rozliczenie opłat i</w:t>
            </w:r>
            <w:r w:rsidR="001F2F8D" w:rsidRPr="00E10DA3">
              <w:rPr>
                <w:rFonts w:ascii="Times New Roman" w:hAnsi="Times New Roman" w:cs="Times New Roman"/>
              </w:rPr>
              <w:t xml:space="preserve"> </w:t>
            </w:r>
            <w:r w:rsidRPr="00E10DA3">
              <w:rPr>
                <w:rFonts w:ascii="Times New Roman" w:hAnsi="Times New Roman" w:cs="Times New Roman"/>
              </w:rPr>
              <w:t xml:space="preserve">wypłatę wsparcia. </w:t>
            </w:r>
          </w:p>
          <w:p w14:paraId="6E2166B2" w14:textId="6AD18D39" w:rsidR="00FF3697" w:rsidRPr="00E10DA3" w:rsidRDefault="00322F94" w:rsidP="009B71B6">
            <w:pPr>
              <w:spacing w:before="120" w:line="276" w:lineRule="auto"/>
              <w:jc w:val="both"/>
              <w:rPr>
                <w:rFonts w:ascii="Times New Roman" w:eastAsia="Calibri" w:hAnsi="Times New Roman" w:cs="Times New Roman"/>
              </w:rPr>
            </w:pPr>
            <w:r w:rsidRPr="00E10DA3">
              <w:rPr>
                <w:rFonts w:ascii="Times New Roman" w:hAnsi="Times New Roman" w:cs="Times New Roman"/>
              </w:rPr>
              <w:t>Zgodnie z art. 64</w:t>
            </w:r>
            <w:r w:rsidR="00FD6061">
              <w:rPr>
                <w:rFonts w:ascii="Times New Roman" w:hAnsi="Times New Roman" w:cs="Times New Roman"/>
              </w:rPr>
              <w:t xml:space="preserve"> ust. 4</w:t>
            </w:r>
            <w:r w:rsidR="009B71B6" w:rsidRPr="00E10DA3">
              <w:rPr>
                <w:rFonts w:ascii="Times New Roman" w:hAnsi="Times New Roman" w:cs="Times New Roman"/>
              </w:rPr>
              <w:t xml:space="preserve"> ustawy,</w:t>
            </w:r>
            <w:r w:rsidRPr="00E10DA3">
              <w:rPr>
                <w:rFonts w:ascii="Times New Roman" w:hAnsi="Times New Roman" w:cs="Times New Roman"/>
              </w:rPr>
              <w:t xml:space="preserve"> </w:t>
            </w:r>
            <w:r w:rsidR="009B71B6" w:rsidRPr="00E10DA3">
              <w:rPr>
                <w:rFonts w:ascii="Times New Roman" w:hAnsi="Times New Roman" w:cs="Times New Roman"/>
              </w:rPr>
              <w:t>stawka</w:t>
            </w:r>
            <w:r w:rsidRPr="00E10DA3">
              <w:rPr>
                <w:rFonts w:ascii="Times New Roman" w:hAnsi="Times New Roman" w:cs="Times New Roman"/>
              </w:rPr>
              <w:t xml:space="preserve"> opłaty</w:t>
            </w:r>
            <w:r w:rsidR="009B71B6" w:rsidRPr="00E10DA3">
              <w:rPr>
                <w:rFonts w:ascii="Times New Roman" w:hAnsi="Times New Roman" w:cs="Times New Roman"/>
              </w:rPr>
              <w:t xml:space="preserve"> kogeneracyjnej</w:t>
            </w:r>
            <w:r w:rsidRPr="00E10DA3">
              <w:rPr>
                <w:rFonts w:ascii="Times New Roman" w:hAnsi="Times New Roman" w:cs="Times New Roman"/>
              </w:rPr>
              <w:t xml:space="preserve"> </w:t>
            </w:r>
            <w:r w:rsidR="009B71B6" w:rsidRPr="00E10DA3">
              <w:rPr>
                <w:rFonts w:ascii="Times New Roman" w:hAnsi="Times New Roman" w:cs="Times New Roman"/>
              </w:rPr>
              <w:t>ustalana jest</w:t>
            </w:r>
            <w:r w:rsidR="008B0946" w:rsidRPr="00E10DA3">
              <w:rPr>
                <w:rFonts w:ascii="Times New Roman" w:hAnsi="Times New Roman" w:cs="Times New Roman"/>
              </w:rPr>
              <w:t xml:space="preserve"> corocznie przez </w:t>
            </w:r>
            <w:r w:rsidR="001F2F8D" w:rsidRPr="00E10DA3">
              <w:rPr>
                <w:rFonts w:ascii="Times New Roman" w:hAnsi="Times New Roman" w:cs="Times New Roman"/>
              </w:rPr>
              <w:t xml:space="preserve">ministra </w:t>
            </w:r>
            <w:r w:rsidR="008B0946" w:rsidRPr="00E10DA3">
              <w:rPr>
                <w:rFonts w:ascii="Times New Roman" w:hAnsi="Times New Roman" w:cs="Times New Roman"/>
              </w:rPr>
              <w:t>właściwego do spraw energii</w:t>
            </w:r>
            <w:r w:rsidR="009B71B6" w:rsidRPr="00E10DA3">
              <w:rPr>
                <w:rFonts w:ascii="Times New Roman" w:hAnsi="Times New Roman" w:cs="Times New Roman"/>
              </w:rPr>
              <w:t>, po zasięgnięciu opinii Prezesa URE,</w:t>
            </w:r>
            <w:r w:rsidRPr="00E10DA3">
              <w:rPr>
                <w:rFonts w:ascii="Times New Roman" w:hAnsi="Times New Roman" w:cs="Times New Roman"/>
              </w:rPr>
              <w:t xml:space="preserve"> w drodze rozporządzenia</w:t>
            </w:r>
            <w:r w:rsidR="009B71B6" w:rsidRPr="00E10DA3">
              <w:rPr>
                <w:rFonts w:ascii="Times New Roman" w:hAnsi="Times New Roman" w:cs="Times New Roman"/>
              </w:rPr>
              <w:t xml:space="preserve">, </w:t>
            </w:r>
            <w:r w:rsidRPr="00E10DA3">
              <w:rPr>
                <w:rFonts w:ascii="Times New Roman" w:hAnsi="Times New Roman" w:cs="Times New Roman"/>
              </w:rPr>
              <w:t xml:space="preserve">w oparciu o poziom kosztów funkcjonowania systemu. </w:t>
            </w:r>
          </w:p>
          <w:p w14:paraId="126DACEF" w14:textId="0C6ED606" w:rsidR="009B71B6" w:rsidRPr="00E10DA3" w:rsidRDefault="009B71B6" w:rsidP="009B71B6">
            <w:pPr>
              <w:pStyle w:val="ARTartustawynprozporzdzenia"/>
              <w:spacing w:before="0" w:line="276" w:lineRule="auto"/>
              <w:ind w:firstLine="0"/>
              <w:rPr>
                <w:rFonts w:ascii="Times New Roman" w:hAnsi="Times New Roman" w:cs="Times New Roman"/>
                <w:sz w:val="22"/>
                <w:szCs w:val="22"/>
              </w:rPr>
            </w:pPr>
            <w:r w:rsidRPr="00E10DA3">
              <w:rPr>
                <w:rFonts w:ascii="Times New Roman" w:hAnsi="Times New Roman" w:cs="Times New Roman"/>
                <w:sz w:val="22"/>
                <w:szCs w:val="22"/>
              </w:rPr>
              <w:t>Wysokość stawki opłaty kogeneracyjnej na 202</w:t>
            </w:r>
            <w:r w:rsidR="00F04E1C" w:rsidRPr="00E10DA3">
              <w:rPr>
                <w:rFonts w:ascii="Times New Roman" w:hAnsi="Times New Roman" w:cs="Times New Roman"/>
                <w:sz w:val="22"/>
                <w:szCs w:val="22"/>
              </w:rPr>
              <w:t>4</w:t>
            </w:r>
            <w:r w:rsidRPr="00E10DA3">
              <w:rPr>
                <w:rFonts w:ascii="Times New Roman" w:hAnsi="Times New Roman" w:cs="Times New Roman"/>
                <w:sz w:val="22"/>
                <w:szCs w:val="22"/>
              </w:rPr>
              <w:t xml:space="preserve"> </w:t>
            </w:r>
            <w:r w:rsidR="00FC0931" w:rsidRPr="00E10DA3">
              <w:rPr>
                <w:rFonts w:ascii="Times New Roman" w:hAnsi="Times New Roman" w:cs="Times New Roman"/>
                <w:sz w:val="22"/>
                <w:szCs w:val="22"/>
              </w:rPr>
              <w:t xml:space="preserve">r. </w:t>
            </w:r>
            <w:r w:rsidRPr="00E10DA3">
              <w:rPr>
                <w:rFonts w:ascii="Times New Roman" w:hAnsi="Times New Roman" w:cs="Times New Roman"/>
                <w:sz w:val="22"/>
                <w:szCs w:val="22"/>
              </w:rPr>
              <w:t>została określo</w:t>
            </w:r>
            <w:r w:rsidR="00C14101" w:rsidRPr="00E10DA3">
              <w:rPr>
                <w:rFonts w:ascii="Times New Roman" w:hAnsi="Times New Roman" w:cs="Times New Roman"/>
                <w:sz w:val="22"/>
                <w:szCs w:val="22"/>
              </w:rPr>
              <w:t xml:space="preserve">na </w:t>
            </w:r>
            <w:r w:rsidR="00FC0931" w:rsidRPr="00E10DA3">
              <w:rPr>
                <w:rFonts w:ascii="Times New Roman" w:hAnsi="Times New Roman" w:cs="Times New Roman"/>
                <w:sz w:val="22"/>
                <w:szCs w:val="22"/>
              </w:rPr>
              <w:t xml:space="preserve">w projekcie rozporządzenia </w:t>
            </w:r>
            <w:bookmarkStart w:id="3" w:name="_Hlk118115178"/>
            <w:r w:rsidR="00C14101" w:rsidRPr="00E10DA3">
              <w:rPr>
                <w:rFonts w:ascii="Times New Roman" w:hAnsi="Times New Roman" w:cs="Times New Roman"/>
                <w:sz w:val="22"/>
                <w:szCs w:val="22"/>
              </w:rPr>
              <w:t xml:space="preserve">zgodnie z przepisami art. 64, art. </w:t>
            </w:r>
            <w:r w:rsidRPr="00E10DA3">
              <w:rPr>
                <w:rFonts w:ascii="Times New Roman" w:hAnsi="Times New Roman" w:cs="Times New Roman"/>
                <w:sz w:val="22"/>
                <w:szCs w:val="22"/>
              </w:rPr>
              <w:t xml:space="preserve">65 i </w:t>
            </w:r>
            <w:r w:rsidR="00C14101" w:rsidRPr="00E10DA3">
              <w:rPr>
                <w:rFonts w:ascii="Times New Roman" w:hAnsi="Times New Roman" w:cs="Times New Roman"/>
                <w:sz w:val="22"/>
                <w:szCs w:val="22"/>
              </w:rPr>
              <w:t xml:space="preserve">art. </w:t>
            </w:r>
            <w:r w:rsidRPr="00E10DA3">
              <w:rPr>
                <w:rFonts w:ascii="Times New Roman" w:hAnsi="Times New Roman" w:cs="Times New Roman"/>
                <w:sz w:val="22"/>
                <w:szCs w:val="22"/>
              </w:rPr>
              <w:t>69 ust. 2 ustawy</w:t>
            </w:r>
            <w:bookmarkEnd w:id="3"/>
            <w:r w:rsidRPr="00E10DA3">
              <w:rPr>
                <w:rFonts w:ascii="Times New Roman" w:hAnsi="Times New Roman" w:cs="Times New Roman"/>
                <w:sz w:val="22"/>
                <w:szCs w:val="22"/>
              </w:rPr>
              <w:t>.</w:t>
            </w:r>
          </w:p>
          <w:p w14:paraId="736E1B62" w14:textId="15A4DC06" w:rsidR="009B71B6" w:rsidRPr="00E10DA3" w:rsidRDefault="009B71B6" w:rsidP="009B71B6">
            <w:pPr>
              <w:pStyle w:val="ARTartustawynprozporzdzenia"/>
              <w:spacing w:before="0" w:line="276" w:lineRule="auto"/>
              <w:ind w:firstLine="0"/>
              <w:rPr>
                <w:rFonts w:ascii="Times New Roman" w:hAnsi="Times New Roman" w:cs="Times New Roman"/>
                <w:sz w:val="22"/>
                <w:szCs w:val="22"/>
              </w:rPr>
            </w:pPr>
            <w:r w:rsidRPr="00E10DA3">
              <w:rPr>
                <w:rFonts w:ascii="Times New Roman" w:hAnsi="Times New Roman" w:cs="Times New Roman"/>
                <w:sz w:val="22"/>
                <w:szCs w:val="22"/>
              </w:rPr>
              <w:t>Do obliczeń wykorzystan</w:t>
            </w:r>
            <w:r w:rsidR="00E10DA3">
              <w:rPr>
                <w:rFonts w:ascii="Times New Roman" w:hAnsi="Times New Roman" w:cs="Times New Roman"/>
                <w:sz w:val="22"/>
                <w:szCs w:val="22"/>
              </w:rPr>
              <w:t>e</w:t>
            </w:r>
            <w:r w:rsidRPr="00E10DA3">
              <w:rPr>
                <w:rFonts w:ascii="Times New Roman" w:hAnsi="Times New Roman" w:cs="Times New Roman"/>
                <w:sz w:val="22"/>
                <w:szCs w:val="22"/>
              </w:rPr>
              <w:t xml:space="preserve"> zostały następujące wzory:</w:t>
            </w:r>
          </w:p>
          <w:p w14:paraId="7840B4EF" w14:textId="77777777" w:rsidR="00E10DA3" w:rsidRDefault="009B71B6" w:rsidP="00E10DA3">
            <w:pPr>
              <w:pStyle w:val="ARTartustawynprozporzdzenia"/>
              <w:spacing w:before="0" w:line="276" w:lineRule="auto"/>
              <w:ind w:left="4292" w:firstLine="0"/>
              <w:rPr>
                <w:rFonts w:ascii="Times New Roman" w:hAnsi="Times New Roman" w:cs="Times New Roman"/>
                <w:sz w:val="22"/>
                <w:szCs w:val="22"/>
              </w:rPr>
            </w:pPr>
            <w:r w:rsidRPr="00E10DA3">
              <w:rPr>
                <w:rFonts w:ascii="Times New Roman" w:hAnsi="Times New Roman" w:cs="Times New Roman"/>
                <w:sz w:val="22"/>
                <w:szCs w:val="22"/>
              </w:rPr>
              <w:t>S</w:t>
            </w:r>
            <w:r w:rsidRPr="00E10DA3">
              <w:rPr>
                <w:rFonts w:ascii="Times New Roman" w:hAnsi="Times New Roman" w:cs="Times New Roman"/>
                <w:sz w:val="22"/>
                <w:szCs w:val="22"/>
                <w:vertAlign w:val="subscript"/>
              </w:rPr>
              <w:t>R</w:t>
            </w:r>
            <w:r w:rsidRPr="00E10DA3">
              <w:rPr>
                <w:rFonts w:ascii="Times New Roman" w:hAnsi="Times New Roman" w:cs="Times New Roman"/>
                <w:sz w:val="22"/>
                <w:szCs w:val="22"/>
              </w:rPr>
              <w:t>= G/Q</w:t>
            </w:r>
          </w:p>
          <w:p w14:paraId="7B291811" w14:textId="77777777" w:rsidR="00E10DA3" w:rsidRDefault="009B71B6" w:rsidP="00E10DA3">
            <w:pPr>
              <w:pStyle w:val="ARTartustawynprozporzdzenia"/>
              <w:spacing w:before="0" w:line="276" w:lineRule="auto"/>
              <w:ind w:left="4292" w:firstLine="0"/>
              <w:rPr>
                <w:rFonts w:ascii="Times New Roman" w:hAnsi="Times New Roman" w:cs="Times New Roman"/>
                <w:sz w:val="22"/>
                <w:szCs w:val="22"/>
              </w:rPr>
            </w:pPr>
            <w:r w:rsidRPr="00E10DA3">
              <w:rPr>
                <w:rFonts w:ascii="Times New Roman" w:eastAsia="Times New Roman" w:hAnsi="Times New Roman" w:cs="Times New Roman"/>
                <w:sz w:val="22"/>
                <w:szCs w:val="22"/>
              </w:rPr>
              <w:t xml:space="preserve">G= Σ </w:t>
            </w:r>
            <w:proofErr w:type="spellStart"/>
            <w:r w:rsidRPr="00E10DA3">
              <w:rPr>
                <w:rFonts w:ascii="Times New Roman" w:eastAsia="Times New Roman" w:hAnsi="Times New Roman" w:cs="Times New Roman"/>
                <w:sz w:val="22"/>
                <w:szCs w:val="22"/>
              </w:rPr>
              <w:t>K</w:t>
            </w:r>
            <w:r w:rsidRPr="00E10DA3">
              <w:rPr>
                <w:rFonts w:ascii="Times New Roman" w:eastAsia="Times New Roman" w:hAnsi="Times New Roman" w:cs="Times New Roman"/>
                <w:sz w:val="22"/>
                <w:szCs w:val="22"/>
                <w:vertAlign w:val="subscript"/>
              </w:rPr>
              <w:t>OKf</w:t>
            </w:r>
            <w:proofErr w:type="spellEnd"/>
            <w:r w:rsidR="00230ADA" w:rsidRPr="00E10DA3">
              <w:rPr>
                <w:rFonts w:ascii="Times New Roman" w:eastAsia="Times New Roman" w:hAnsi="Times New Roman" w:cs="Times New Roman"/>
                <w:sz w:val="22"/>
                <w:szCs w:val="22"/>
                <w:vertAlign w:val="subscript"/>
              </w:rPr>
              <w:t xml:space="preserve"> </w:t>
            </w:r>
            <w:r w:rsidRPr="00E10DA3">
              <w:rPr>
                <w:rFonts w:ascii="Times New Roman" w:eastAsia="Times New Roman" w:hAnsi="Times New Roman" w:cs="Times New Roman"/>
                <w:sz w:val="22"/>
                <w:szCs w:val="22"/>
              </w:rPr>
              <w:t>+ L</w:t>
            </w:r>
            <w:r w:rsidRPr="00E10DA3">
              <w:rPr>
                <w:rFonts w:ascii="Times New Roman" w:eastAsia="Times New Roman" w:hAnsi="Times New Roman" w:cs="Times New Roman"/>
                <w:sz w:val="22"/>
                <w:szCs w:val="22"/>
                <w:vertAlign w:val="subscript"/>
              </w:rPr>
              <w:t>OK</w:t>
            </w:r>
            <w:r w:rsidRPr="00E10DA3">
              <w:rPr>
                <w:rFonts w:ascii="Times New Roman" w:eastAsia="Times New Roman" w:hAnsi="Times New Roman" w:cs="Times New Roman"/>
                <w:sz w:val="22"/>
                <w:szCs w:val="22"/>
              </w:rPr>
              <w:t>–E</w:t>
            </w:r>
            <w:r w:rsidRPr="00E10DA3">
              <w:rPr>
                <w:rFonts w:ascii="Times New Roman" w:eastAsia="Times New Roman" w:hAnsi="Times New Roman" w:cs="Times New Roman"/>
                <w:sz w:val="22"/>
                <w:szCs w:val="22"/>
                <w:vertAlign w:val="subscript"/>
              </w:rPr>
              <w:t>OK</w:t>
            </w:r>
          </w:p>
          <w:p w14:paraId="674DB7FE" w14:textId="354D8D0E" w:rsidR="009B71B6" w:rsidRPr="00E10DA3" w:rsidRDefault="009B71B6" w:rsidP="00E10DA3">
            <w:pPr>
              <w:pStyle w:val="ARTartustawynprozporzdzenia"/>
              <w:spacing w:before="0" w:line="276" w:lineRule="auto"/>
              <w:ind w:left="4292" w:firstLine="0"/>
              <w:rPr>
                <w:rFonts w:ascii="Times New Roman" w:hAnsi="Times New Roman" w:cs="Times New Roman"/>
                <w:sz w:val="22"/>
                <w:szCs w:val="22"/>
              </w:rPr>
            </w:pPr>
            <w:r w:rsidRPr="00E10DA3">
              <w:rPr>
                <w:rFonts w:ascii="Times New Roman" w:hAnsi="Times New Roman" w:cs="Times New Roman"/>
                <w:sz w:val="22"/>
                <w:szCs w:val="22"/>
              </w:rPr>
              <w:t>L</w:t>
            </w:r>
            <w:r w:rsidRPr="00E10DA3">
              <w:rPr>
                <w:rFonts w:ascii="Times New Roman" w:hAnsi="Times New Roman" w:cs="Times New Roman"/>
                <w:sz w:val="22"/>
                <w:szCs w:val="22"/>
                <w:vertAlign w:val="subscript"/>
              </w:rPr>
              <w:t>OK</w:t>
            </w:r>
            <w:r w:rsidRPr="00E10DA3">
              <w:rPr>
                <w:rFonts w:ascii="Times New Roman" w:hAnsi="Times New Roman" w:cs="Times New Roman"/>
                <w:sz w:val="22"/>
                <w:szCs w:val="22"/>
              </w:rPr>
              <w:t>= C</w:t>
            </w:r>
            <w:r w:rsidRPr="00E10DA3">
              <w:rPr>
                <w:rFonts w:ascii="Times New Roman" w:hAnsi="Times New Roman" w:cs="Times New Roman"/>
                <w:sz w:val="22"/>
                <w:szCs w:val="22"/>
                <w:vertAlign w:val="subscript"/>
              </w:rPr>
              <w:t>OK</w:t>
            </w:r>
            <w:r w:rsidR="00230ADA" w:rsidRPr="00E10DA3">
              <w:rPr>
                <w:rFonts w:ascii="Times New Roman" w:hAnsi="Times New Roman" w:cs="Times New Roman"/>
                <w:sz w:val="22"/>
                <w:szCs w:val="22"/>
                <w:vertAlign w:val="subscript"/>
              </w:rPr>
              <w:t xml:space="preserve"> </w:t>
            </w:r>
            <w:r w:rsidRPr="00E10DA3">
              <w:rPr>
                <w:rFonts w:ascii="Times New Roman" w:hAnsi="Times New Roman" w:cs="Times New Roman"/>
                <w:sz w:val="22"/>
                <w:szCs w:val="22"/>
              </w:rPr>
              <w:t>+ I</w:t>
            </w:r>
            <w:r w:rsidRPr="00E10DA3">
              <w:rPr>
                <w:rFonts w:ascii="Times New Roman" w:hAnsi="Times New Roman" w:cs="Times New Roman"/>
                <w:sz w:val="22"/>
                <w:szCs w:val="22"/>
                <w:vertAlign w:val="subscript"/>
              </w:rPr>
              <w:t>OK</w:t>
            </w:r>
            <w:r w:rsidRPr="00E10DA3">
              <w:rPr>
                <w:rFonts w:ascii="Times New Roman" w:hAnsi="Times New Roman" w:cs="Times New Roman"/>
                <w:sz w:val="22"/>
                <w:szCs w:val="22"/>
              </w:rPr>
              <w:t>+ F</w:t>
            </w:r>
            <w:r w:rsidRPr="00E10DA3">
              <w:rPr>
                <w:rFonts w:ascii="Times New Roman" w:hAnsi="Times New Roman" w:cs="Times New Roman"/>
                <w:sz w:val="22"/>
                <w:szCs w:val="22"/>
                <w:vertAlign w:val="subscript"/>
              </w:rPr>
              <w:t>OK</w:t>
            </w:r>
          </w:p>
          <w:p w14:paraId="429B1BC6" w14:textId="77777777" w:rsidR="00242EC5" w:rsidRPr="00E10DA3" w:rsidRDefault="00242EC5" w:rsidP="00FB7FD3">
            <w:pPr>
              <w:pStyle w:val="ARTartustawynprozporzdzenia"/>
              <w:spacing w:before="0" w:line="276" w:lineRule="auto"/>
              <w:ind w:firstLine="709"/>
              <w:jc w:val="center"/>
              <w:rPr>
                <w:rFonts w:ascii="Times New Roman" w:hAnsi="Times New Roman" w:cs="Times New Roman"/>
                <w:sz w:val="22"/>
                <w:szCs w:val="22"/>
              </w:rPr>
            </w:pPr>
          </w:p>
          <w:p w14:paraId="2B987047" w14:textId="5FA77704" w:rsidR="009B71B6" w:rsidRPr="00E10DA3" w:rsidRDefault="00230ADA" w:rsidP="009B71B6">
            <w:pPr>
              <w:pStyle w:val="ARTartustawynprozporzdzenia"/>
              <w:spacing w:before="0" w:line="276" w:lineRule="auto"/>
              <w:ind w:firstLine="0"/>
              <w:rPr>
                <w:rFonts w:ascii="Times New Roman" w:hAnsi="Times New Roman" w:cs="Times New Roman"/>
                <w:sz w:val="22"/>
                <w:szCs w:val="22"/>
              </w:rPr>
            </w:pPr>
            <w:r w:rsidRPr="00E10DA3">
              <w:rPr>
                <w:rFonts w:ascii="Times New Roman" w:hAnsi="Times New Roman" w:cs="Times New Roman"/>
                <w:sz w:val="22"/>
                <w:szCs w:val="22"/>
              </w:rPr>
              <w:t xml:space="preserve">- </w:t>
            </w:r>
            <w:r w:rsidR="009B71B6" w:rsidRPr="00E10DA3">
              <w:rPr>
                <w:rFonts w:ascii="Times New Roman" w:hAnsi="Times New Roman" w:cs="Times New Roman"/>
                <w:sz w:val="22"/>
                <w:szCs w:val="22"/>
              </w:rPr>
              <w:t>gdzie poszczególne symbole oznaczają:</w:t>
            </w:r>
          </w:p>
          <w:p w14:paraId="121827F1" w14:textId="02373949" w:rsidR="009B71B6" w:rsidRPr="00E10DA3" w:rsidRDefault="009B71B6" w:rsidP="009B71B6">
            <w:pPr>
              <w:pStyle w:val="ARTartustawynprozporzdzenia"/>
              <w:spacing w:before="0" w:line="276" w:lineRule="auto"/>
              <w:ind w:left="426" w:hanging="426"/>
              <w:rPr>
                <w:rFonts w:ascii="Times New Roman" w:hAnsi="Times New Roman" w:cs="Times New Roman"/>
                <w:sz w:val="22"/>
                <w:szCs w:val="22"/>
              </w:rPr>
            </w:pPr>
            <w:r w:rsidRPr="00E10DA3">
              <w:rPr>
                <w:rFonts w:ascii="Times New Roman" w:hAnsi="Times New Roman" w:cs="Times New Roman"/>
                <w:sz w:val="22"/>
                <w:szCs w:val="22"/>
              </w:rPr>
              <w:t>S</w:t>
            </w:r>
            <w:r w:rsidRPr="00E10DA3">
              <w:rPr>
                <w:rFonts w:ascii="Times New Roman" w:hAnsi="Times New Roman" w:cs="Times New Roman"/>
                <w:sz w:val="22"/>
                <w:szCs w:val="22"/>
                <w:vertAlign w:val="subscript"/>
              </w:rPr>
              <w:t>R</w:t>
            </w:r>
            <w:r w:rsidR="00230ADA" w:rsidRPr="00E10DA3">
              <w:rPr>
                <w:rFonts w:ascii="Times New Roman" w:hAnsi="Times New Roman" w:cs="Times New Roman"/>
                <w:sz w:val="22"/>
                <w:szCs w:val="22"/>
                <w:vertAlign w:val="subscript"/>
              </w:rPr>
              <w:t xml:space="preserve"> </w:t>
            </w:r>
            <w:r w:rsidR="00230ADA" w:rsidRPr="00E10DA3">
              <w:rPr>
                <w:rFonts w:ascii="Times New Roman" w:hAnsi="Times New Roman" w:cs="Times New Roman"/>
                <w:sz w:val="22"/>
                <w:szCs w:val="22"/>
              </w:rPr>
              <w:t xml:space="preserve">– </w:t>
            </w:r>
            <w:r w:rsidR="00230ADA" w:rsidRPr="00E10DA3">
              <w:rPr>
                <w:rFonts w:ascii="Times New Roman" w:hAnsi="Times New Roman" w:cs="Times New Roman"/>
                <w:sz w:val="22"/>
                <w:szCs w:val="22"/>
                <w:vertAlign w:val="subscript"/>
              </w:rPr>
              <w:t xml:space="preserve"> </w:t>
            </w:r>
            <w:r w:rsidRPr="00E10DA3">
              <w:rPr>
                <w:rFonts w:ascii="Times New Roman" w:hAnsi="Times New Roman" w:cs="Times New Roman"/>
                <w:sz w:val="22"/>
                <w:szCs w:val="22"/>
              </w:rPr>
              <w:t>stawk</w:t>
            </w:r>
            <w:r w:rsidR="00832BA1" w:rsidRPr="00E10DA3">
              <w:rPr>
                <w:rFonts w:ascii="Times New Roman" w:hAnsi="Times New Roman" w:cs="Times New Roman"/>
                <w:sz w:val="22"/>
                <w:szCs w:val="22"/>
              </w:rPr>
              <w:t>ę</w:t>
            </w:r>
            <w:r w:rsidRPr="00E10DA3">
              <w:rPr>
                <w:rFonts w:ascii="Times New Roman" w:hAnsi="Times New Roman" w:cs="Times New Roman"/>
                <w:sz w:val="22"/>
                <w:szCs w:val="22"/>
              </w:rPr>
              <w:t xml:space="preserve"> opłaty kogeneracyjnej na rok 202</w:t>
            </w:r>
            <w:r w:rsidR="00F04E1C" w:rsidRPr="00E10DA3">
              <w:rPr>
                <w:rFonts w:ascii="Times New Roman" w:hAnsi="Times New Roman" w:cs="Times New Roman"/>
                <w:sz w:val="22"/>
                <w:szCs w:val="22"/>
              </w:rPr>
              <w:t>4</w:t>
            </w:r>
            <w:r w:rsidRPr="00E10DA3">
              <w:rPr>
                <w:rFonts w:ascii="Times New Roman" w:hAnsi="Times New Roman" w:cs="Times New Roman"/>
                <w:sz w:val="22"/>
                <w:szCs w:val="22"/>
              </w:rPr>
              <w:t xml:space="preserve"> wyrażoną w złotych za 1 MWh,</w:t>
            </w:r>
          </w:p>
          <w:p w14:paraId="43C0FB5A" w14:textId="60E2CFF9" w:rsidR="009B71B6" w:rsidRPr="00E10DA3" w:rsidRDefault="009B71B6" w:rsidP="009B71B6">
            <w:pPr>
              <w:pStyle w:val="ARTartustawynprozporzdzenia"/>
              <w:spacing w:before="0" w:line="276" w:lineRule="auto"/>
              <w:ind w:left="426" w:hanging="426"/>
              <w:rPr>
                <w:rFonts w:ascii="Times New Roman" w:hAnsi="Times New Roman" w:cs="Times New Roman"/>
                <w:sz w:val="22"/>
                <w:szCs w:val="22"/>
              </w:rPr>
            </w:pPr>
            <w:r w:rsidRPr="00E10DA3">
              <w:rPr>
                <w:rFonts w:ascii="Times New Roman" w:hAnsi="Times New Roman" w:cs="Times New Roman"/>
                <w:sz w:val="22"/>
                <w:szCs w:val="22"/>
              </w:rPr>
              <w:t>G</w:t>
            </w:r>
            <w:r w:rsidR="00FC0931" w:rsidRPr="00E10DA3">
              <w:rPr>
                <w:rFonts w:ascii="Times New Roman" w:hAnsi="Times New Roman" w:cs="Times New Roman"/>
                <w:sz w:val="22"/>
                <w:szCs w:val="22"/>
              </w:rPr>
              <w:t xml:space="preserve"> </w:t>
            </w:r>
            <w:r w:rsidRPr="00E10DA3">
              <w:rPr>
                <w:rFonts w:ascii="Times New Roman" w:hAnsi="Times New Roman" w:cs="Times New Roman"/>
                <w:sz w:val="22"/>
                <w:szCs w:val="22"/>
              </w:rPr>
              <w:t>–</w:t>
            </w:r>
            <w:r w:rsidR="00144122" w:rsidRPr="00E10DA3">
              <w:rPr>
                <w:rFonts w:ascii="Times New Roman" w:hAnsi="Times New Roman" w:cs="Times New Roman"/>
                <w:sz w:val="22"/>
                <w:szCs w:val="22"/>
              </w:rPr>
              <w:t xml:space="preserve"> </w:t>
            </w:r>
            <w:r w:rsidRPr="00E10DA3">
              <w:rPr>
                <w:rFonts w:ascii="Times New Roman" w:hAnsi="Times New Roman" w:cs="Times New Roman"/>
                <w:sz w:val="22"/>
                <w:szCs w:val="22"/>
              </w:rPr>
              <w:t>wysokość kwoty planowanej do pobrania w roku 202</w:t>
            </w:r>
            <w:r w:rsidR="00F04E1C" w:rsidRPr="00E10DA3">
              <w:rPr>
                <w:rFonts w:ascii="Times New Roman" w:hAnsi="Times New Roman" w:cs="Times New Roman"/>
                <w:sz w:val="22"/>
                <w:szCs w:val="22"/>
              </w:rPr>
              <w:t>4</w:t>
            </w:r>
            <w:r w:rsidRPr="00E10DA3">
              <w:rPr>
                <w:rFonts w:ascii="Times New Roman" w:hAnsi="Times New Roman" w:cs="Times New Roman"/>
                <w:sz w:val="22"/>
                <w:szCs w:val="22"/>
              </w:rPr>
              <w:t>,</w:t>
            </w:r>
          </w:p>
          <w:p w14:paraId="5D778B61" w14:textId="77CD8C9F" w:rsidR="009B71B6" w:rsidRPr="00E10DA3" w:rsidRDefault="009B71B6" w:rsidP="009B71B6">
            <w:pPr>
              <w:pStyle w:val="ARTartustawynprozporzdzenia"/>
              <w:spacing w:before="0" w:line="276" w:lineRule="auto"/>
              <w:ind w:left="426" w:hanging="426"/>
              <w:rPr>
                <w:rFonts w:ascii="Times New Roman" w:hAnsi="Times New Roman" w:cs="Times New Roman"/>
                <w:sz w:val="22"/>
                <w:szCs w:val="22"/>
              </w:rPr>
            </w:pPr>
            <w:r w:rsidRPr="00E10DA3">
              <w:rPr>
                <w:rFonts w:ascii="Times New Roman" w:hAnsi="Times New Roman" w:cs="Times New Roman"/>
                <w:sz w:val="22"/>
                <w:szCs w:val="22"/>
              </w:rPr>
              <w:t>Q –</w:t>
            </w:r>
            <w:r w:rsidR="00FC0931" w:rsidRPr="00E10DA3">
              <w:rPr>
                <w:rFonts w:ascii="Times New Roman" w:hAnsi="Times New Roman" w:cs="Times New Roman"/>
                <w:sz w:val="22"/>
                <w:szCs w:val="22"/>
              </w:rPr>
              <w:t xml:space="preserve"> </w:t>
            </w:r>
            <w:r w:rsidRPr="00E10DA3">
              <w:rPr>
                <w:rFonts w:ascii="Times New Roman" w:hAnsi="Times New Roman" w:cs="Times New Roman"/>
                <w:sz w:val="22"/>
                <w:szCs w:val="22"/>
              </w:rPr>
              <w:t>ilość energii elektrycznej pobranej z sieci i zużytej przez odbiorców końcowych w krajowym systemie elektroenergetycznym, która stanowiła podstawę do obliczenia opłaty kogeneracyjnej w okresie 12 miesięcy kalendarzowych poprzedzających dzień 1 lipca 20</w:t>
            </w:r>
            <w:r w:rsidR="00F35030" w:rsidRPr="00E10DA3">
              <w:rPr>
                <w:rFonts w:ascii="Times New Roman" w:hAnsi="Times New Roman" w:cs="Times New Roman"/>
                <w:sz w:val="22"/>
                <w:szCs w:val="22"/>
              </w:rPr>
              <w:t>2</w:t>
            </w:r>
            <w:r w:rsidR="00F04E1C" w:rsidRPr="00E10DA3">
              <w:rPr>
                <w:rFonts w:ascii="Times New Roman" w:hAnsi="Times New Roman" w:cs="Times New Roman"/>
                <w:sz w:val="22"/>
                <w:szCs w:val="22"/>
              </w:rPr>
              <w:t>3</w:t>
            </w:r>
            <w:r w:rsidRPr="00E10DA3">
              <w:rPr>
                <w:rFonts w:ascii="Times New Roman" w:hAnsi="Times New Roman" w:cs="Times New Roman"/>
                <w:sz w:val="22"/>
                <w:szCs w:val="22"/>
              </w:rPr>
              <w:t> r.,</w:t>
            </w:r>
          </w:p>
          <w:p w14:paraId="4E2AE05A" w14:textId="33306DA7" w:rsidR="009B71B6" w:rsidRPr="00E10DA3" w:rsidRDefault="009B71B6" w:rsidP="009B71B6">
            <w:pPr>
              <w:spacing w:after="0" w:line="276" w:lineRule="auto"/>
              <w:ind w:left="426" w:hanging="426"/>
              <w:jc w:val="both"/>
              <w:rPr>
                <w:rFonts w:ascii="Times New Roman" w:eastAsia="Times New Roman" w:hAnsi="Times New Roman" w:cs="Times New Roman"/>
                <w:lang w:eastAsia="pl-PL"/>
              </w:rPr>
            </w:pPr>
            <w:proofErr w:type="spellStart"/>
            <w:r w:rsidRPr="00E10DA3">
              <w:rPr>
                <w:rFonts w:ascii="Times New Roman" w:eastAsia="Times New Roman" w:hAnsi="Times New Roman" w:cs="Times New Roman"/>
                <w:lang w:eastAsia="pl-PL"/>
              </w:rPr>
              <w:t>ΣK</w:t>
            </w:r>
            <w:r w:rsidRPr="00E10DA3">
              <w:rPr>
                <w:rFonts w:ascii="Times New Roman" w:eastAsia="Times New Roman" w:hAnsi="Times New Roman" w:cs="Times New Roman"/>
                <w:vertAlign w:val="subscript"/>
                <w:lang w:eastAsia="pl-PL"/>
              </w:rPr>
              <w:t>OKf</w:t>
            </w:r>
            <w:proofErr w:type="spellEnd"/>
            <w:r w:rsidRPr="00E10DA3">
              <w:rPr>
                <w:rFonts w:ascii="Times New Roman" w:eastAsia="Times New Roman" w:hAnsi="Times New Roman" w:cs="Times New Roman"/>
                <w:vertAlign w:val="subscript"/>
                <w:lang w:eastAsia="pl-PL"/>
              </w:rPr>
              <w:t xml:space="preserve"> </w:t>
            </w:r>
            <w:r w:rsidRPr="00E10DA3">
              <w:rPr>
                <w:rFonts w:ascii="Times New Roman" w:eastAsia="Times New Roman" w:hAnsi="Times New Roman" w:cs="Times New Roman"/>
                <w:lang w:eastAsia="pl-PL"/>
              </w:rPr>
              <w:t>– prognozowaną wysokość środków przeznaczonych na wypłatę premii kogeneracyjnej, premii gwarantowanej, premii gwarantowanej indywidualnej oraz premii kogeneracyjnej indywidualnej w roku 202</w:t>
            </w:r>
            <w:r w:rsidR="00F04E1C" w:rsidRPr="00E10DA3">
              <w:rPr>
                <w:rFonts w:ascii="Times New Roman" w:eastAsia="Times New Roman" w:hAnsi="Times New Roman" w:cs="Times New Roman"/>
                <w:lang w:eastAsia="pl-PL"/>
              </w:rPr>
              <w:t>4</w:t>
            </w:r>
            <w:r w:rsidRPr="00E10DA3">
              <w:rPr>
                <w:rFonts w:ascii="Times New Roman" w:eastAsia="Times New Roman" w:hAnsi="Times New Roman" w:cs="Times New Roman"/>
                <w:lang w:eastAsia="pl-PL"/>
              </w:rPr>
              <w:t>,</w:t>
            </w:r>
          </w:p>
          <w:p w14:paraId="5DEDCDE9" w14:textId="08344A28" w:rsidR="009B71B6" w:rsidRPr="00E10DA3" w:rsidRDefault="009B71B6" w:rsidP="009B71B6">
            <w:pPr>
              <w:spacing w:after="0" w:line="276" w:lineRule="auto"/>
              <w:ind w:left="426" w:hanging="426"/>
              <w:jc w:val="both"/>
              <w:rPr>
                <w:rFonts w:ascii="Times New Roman" w:eastAsia="Times New Roman" w:hAnsi="Times New Roman" w:cs="Times New Roman"/>
                <w:lang w:eastAsia="pl-PL"/>
              </w:rPr>
            </w:pPr>
            <w:r w:rsidRPr="00E10DA3">
              <w:rPr>
                <w:rFonts w:ascii="Times New Roman" w:eastAsia="Times New Roman" w:hAnsi="Times New Roman" w:cs="Times New Roman"/>
                <w:lang w:eastAsia="pl-PL"/>
              </w:rPr>
              <w:lastRenderedPageBreak/>
              <w:t>L</w:t>
            </w:r>
            <w:r w:rsidRPr="00E10DA3">
              <w:rPr>
                <w:rFonts w:ascii="Times New Roman" w:eastAsia="Times New Roman" w:hAnsi="Times New Roman" w:cs="Times New Roman"/>
                <w:vertAlign w:val="subscript"/>
                <w:lang w:eastAsia="pl-PL"/>
              </w:rPr>
              <w:t xml:space="preserve">OK </w:t>
            </w:r>
            <w:r w:rsidRPr="00E10DA3">
              <w:rPr>
                <w:rFonts w:ascii="Times New Roman" w:eastAsia="Times New Roman" w:hAnsi="Times New Roman" w:cs="Times New Roman"/>
                <w:lang w:eastAsia="pl-PL"/>
              </w:rPr>
              <w:t>– planowane koszty działalności operatora rozliczeń w roku 202</w:t>
            </w:r>
            <w:r w:rsidR="00733A0A" w:rsidRPr="00E10DA3">
              <w:rPr>
                <w:rFonts w:ascii="Times New Roman" w:eastAsia="Times New Roman" w:hAnsi="Times New Roman" w:cs="Times New Roman"/>
                <w:lang w:eastAsia="pl-PL"/>
              </w:rPr>
              <w:t>3</w:t>
            </w:r>
            <w:r w:rsidRPr="00E10DA3">
              <w:rPr>
                <w:rFonts w:ascii="Times New Roman" w:eastAsia="Times New Roman" w:hAnsi="Times New Roman" w:cs="Times New Roman"/>
                <w:lang w:eastAsia="pl-PL"/>
              </w:rPr>
              <w:t xml:space="preserve"> związane bezpośrednio z obsługą systemu wsparcia wytwarzania energii elektrycznej w wysokosprawnej kogeneracji,</w:t>
            </w:r>
          </w:p>
          <w:p w14:paraId="07014F18" w14:textId="58908534" w:rsidR="009B71B6" w:rsidRPr="00E10DA3" w:rsidRDefault="009B71B6" w:rsidP="009B71B6">
            <w:pPr>
              <w:spacing w:after="0" w:line="276" w:lineRule="auto"/>
              <w:ind w:left="426" w:hanging="426"/>
              <w:jc w:val="both"/>
              <w:rPr>
                <w:rFonts w:ascii="Times New Roman" w:eastAsia="Times New Roman" w:hAnsi="Times New Roman" w:cs="Times New Roman"/>
                <w:lang w:eastAsia="pl-PL"/>
              </w:rPr>
            </w:pPr>
            <w:r w:rsidRPr="00E10DA3">
              <w:rPr>
                <w:rFonts w:ascii="Times New Roman" w:eastAsia="Times New Roman" w:hAnsi="Times New Roman" w:cs="Times New Roman"/>
                <w:lang w:eastAsia="pl-PL"/>
              </w:rPr>
              <w:t>E</w:t>
            </w:r>
            <w:r w:rsidRPr="00E10DA3">
              <w:rPr>
                <w:rFonts w:ascii="Times New Roman" w:eastAsia="Times New Roman" w:hAnsi="Times New Roman" w:cs="Times New Roman"/>
                <w:vertAlign w:val="subscript"/>
                <w:lang w:eastAsia="pl-PL"/>
              </w:rPr>
              <w:t xml:space="preserve">OK </w:t>
            </w:r>
            <w:r w:rsidRPr="00E10DA3">
              <w:rPr>
                <w:rFonts w:ascii="Times New Roman" w:eastAsia="Times New Roman" w:hAnsi="Times New Roman" w:cs="Times New Roman"/>
                <w:lang w:eastAsia="pl-PL"/>
              </w:rPr>
              <w:t>– prognozowany na dzień 31 grudnia 20</w:t>
            </w:r>
            <w:r w:rsidR="00F35030" w:rsidRPr="00E10DA3">
              <w:rPr>
                <w:rFonts w:ascii="Times New Roman" w:eastAsia="Times New Roman" w:hAnsi="Times New Roman" w:cs="Times New Roman"/>
                <w:lang w:eastAsia="pl-PL"/>
              </w:rPr>
              <w:t>2</w:t>
            </w:r>
            <w:r w:rsidR="00F04E1C" w:rsidRPr="00E10DA3">
              <w:rPr>
                <w:rFonts w:ascii="Times New Roman" w:eastAsia="Times New Roman" w:hAnsi="Times New Roman" w:cs="Times New Roman"/>
                <w:lang w:eastAsia="pl-PL"/>
              </w:rPr>
              <w:t>3</w:t>
            </w:r>
            <w:r w:rsidR="00F35030" w:rsidRPr="00E10DA3">
              <w:rPr>
                <w:rFonts w:ascii="Times New Roman" w:eastAsia="Times New Roman" w:hAnsi="Times New Roman" w:cs="Times New Roman"/>
                <w:lang w:eastAsia="pl-PL"/>
              </w:rPr>
              <w:t xml:space="preserve"> </w:t>
            </w:r>
            <w:r w:rsidRPr="00E10DA3">
              <w:rPr>
                <w:rFonts w:ascii="Times New Roman" w:eastAsia="Times New Roman" w:hAnsi="Times New Roman" w:cs="Times New Roman"/>
                <w:lang w:eastAsia="pl-PL"/>
              </w:rPr>
              <w:t>r</w:t>
            </w:r>
            <w:r w:rsidR="00255314" w:rsidRPr="00E10DA3">
              <w:rPr>
                <w:rFonts w:ascii="Times New Roman" w:eastAsia="Times New Roman" w:hAnsi="Times New Roman" w:cs="Times New Roman"/>
                <w:lang w:eastAsia="pl-PL"/>
              </w:rPr>
              <w:t>.</w:t>
            </w:r>
            <w:r w:rsidRPr="00E10DA3">
              <w:rPr>
                <w:rFonts w:ascii="Times New Roman" w:eastAsia="Times New Roman" w:hAnsi="Times New Roman" w:cs="Times New Roman"/>
                <w:lang w:eastAsia="pl-PL"/>
              </w:rPr>
              <w:t xml:space="preserve">  stan środków na rachunku opłaty kogeneracyjnej, </w:t>
            </w:r>
          </w:p>
          <w:p w14:paraId="58441153" w14:textId="7A78A3C8" w:rsidR="009B71B6" w:rsidRPr="00E10DA3" w:rsidRDefault="009B71B6" w:rsidP="009B71B6">
            <w:pPr>
              <w:pStyle w:val="ARTartustawynprozporzdzenia"/>
              <w:spacing w:before="0" w:line="276" w:lineRule="auto"/>
              <w:ind w:left="426" w:hanging="426"/>
              <w:rPr>
                <w:rFonts w:ascii="Times New Roman" w:hAnsi="Times New Roman" w:cs="Times New Roman"/>
                <w:sz w:val="22"/>
                <w:szCs w:val="22"/>
              </w:rPr>
            </w:pPr>
            <w:r w:rsidRPr="00E10DA3">
              <w:rPr>
                <w:rFonts w:ascii="Times New Roman" w:hAnsi="Times New Roman" w:cs="Times New Roman"/>
                <w:sz w:val="22"/>
                <w:szCs w:val="22"/>
              </w:rPr>
              <w:t>C</w:t>
            </w:r>
            <w:r w:rsidRPr="00E10DA3">
              <w:rPr>
                <w:rFonts w:ascii="Times New Roman" w:hAnsi="Times New Roman" w:cs="Times New Roman"/>
                <w:sz w:val="22"/>
                <w:szCs w:val="22"/>
                <w:vertAlign w:val="subscript"/>
              </w:rPr>
              <w:t xml:space="preserve">OK </w:t>
            </w:r>
            <w:r w:rsidRPr="00E10DA3">
              <w:rPr>
                <w:rFonts w:ascii="Times New Roman" w:hAnsi="Times New Roman" w:cs="Times New Roman"/>
                <w:sz w:val="22"/>
                <w:szCs w:val="22"/>
              </w:rPr>
              <w:t>– planowaną kwotę należności głównych z tytułu zadłużenia zaciągniętego przez operatora rozliczeń, w przypadku, o którym mowa w art. 69 ust. 1 ustawy, wymagalnych w roku 202</w:t>
            </w:r>
            <w:r w:rsidR="00F04E1C" w:rsidRPr="00E10DA3">
              <w:rPr>
                <w:rFonts w:ascii="Times New Roman" w:hAnsi="Times New Roman" w:cs="Times New Roman"/>
                <w:sz w:val="22"/>
                <w:szCs w:val="22"/>
              </w:rPr>
              <w:t>4</w:t>
            </w:r>
            <w:r w:rsidRPr="00E10DA3">
              <w:rPr>
                <w:rFonts w:ascii="Times New Roman" w:hAnsi="Times New Roman" w:cs="Times New Roman"/>
                <w:sz w:val="22"/>
                <w:szCs w:val="22"/>
              </w:rPr>
              <w:t xml:space="preserve">, </w:t>
            </w:r>
          </w:p>
          <w:p w14:paraId="4659938A" w14:textId="3CE5603F" w:rsidR="009B71B6" w:rsidRPr="00E10DA3" w:rsidRDefault="009B71B6" w:rsidP="009B71B6">
            <w:pPr>
              <w:pStyle w:val="ARTartustawynprozporzdzenia"/>
              <w:spacing w:before="0" w:line="276" w:lineRule="auto"/>
              <w:ind w:left="426" w:hanging="426"/>
              <w:rPr>
                <w:rFonts w:ascii="Times New Roman" w:hAnsi="Times New Roman" w:cs="Times New Roman"/>
                <w:sz w:val="22"/>
                <w:szCs w:val="22"/>
              </w:rPr>
            </w:pPr>
            <w:r w:rsidRPr="00E10DA3">
              <w:rPr>
                <w:rFonts w:ascii="Times New Roman" w:hAnsi="Times New Roman" w:cs="Times New Roman"/>
                <w:sz w:val="22"/>
                <w:szCs w:val="22"/>
              </w:rPr>
              <w:t>I</w:t>
            </w:r>
            <w:r w:rsidRPr="00E10DA3">
              <w:rPr>
                <w:rFonts w:ascii="Times New Roman" w:hAnsi="Times New Roman" w:cs="Times New Roman"/>
                <w:sz w:val="22"/>
                <w:szCs w:val="22"/>
                <w:vertAlign w:val="subscript"/>
              </w:rPr>
              <w:t xml:space="preserve">OK </w:t>
            </w:r>
            <w:r w:rsidRPr="00E10DA3">
              <w:rPr>
                <w:rFonts w:ascii="Times New Roman" w:hAnsi="Times New Roman" w:cs="Times New Roman"/>
                <w:sz w:val="22"/>
                <w:szCs w:val="22"/>
              </w:rPr>
              <w:t>– planowaną kwotę odsetek z tytułu zadłużenia zaciągniętego przez operatora rozliczeń w przypadku,  o którym mowa w art. 69 ust. 1 ustawy,</w:t>
            </w:r>
          </w:p>
          <w:p w14:paraId="757DEEAB" w14:textId="2EE5910D" w:rsidR="009B71B6" w:rsidRPr="00E10DA3" w:rsidRDefault="009B71B6" w:rsidP="009B71B6">
            <w:pPr>
              <w:pStyle w:val="ARTartustawynprozporzdzenia"/>
              <w:spacing w:before="0" w:line="276" w:lineRule="auto"/>
              <w:ind w:left="426" w:hanging="426"/>
              <w:rPr>
                <w:rFonts w:ascii="Times New Roman" w:hAnsi="Times New Roman" w:cs="Times New Roman"/>
                <w:sz w:val="22"/>
                <w:szCs w:val="22"/>
              </w:rPr>
            </w:pPr>
            <w:r w:rsidRPr="00E10DA3">
              <w:rPr>
                <w:rFonts w:ascii="Times New Roman" w:hAnsi="Times New Roman" w:cs="Times New Roman"/>
                <w:sz w:val="22"/>
                <w:szCs w:val="22"/>
              </w:rPr>
              <w:t>F</w:t>
            </w:r>
            <w:r w:rsidRPr="00E10DA3">
              <w:rPr>
                <w:rFonts w:ascii="Times New Roman" w:hAnsi="Times New Roman" w:cs="Times New Roman"/>
                <w:sz w:val="22"/>
                <w:szCs w:val="22"/>
                <w:vertAlign w:val="subscript"/>
              </w:rPr>
              <w:t xml:space="preserve">OK </w:t>
            </w:r>
            <w:r w:rsidRPr="00E10DA3">
              <w:rPr>
                <w:rFonts w:ascii="Times New Roman" w:hAnsi="Times New Roman" w:cs="Times New Roman"/>
                <w:sz w:val="22"/>
                <w:szCs w:val="22"/>
              </w:rPr>
              <w:t>– planowane w roku 202</w:t>
            </w:r>
            <w:r w:rsidR="00F04E1C" w:rsidRPr="00E10DA3">
              <w:rPr>
                <w:rFonts w:ascii="Times New Roman" w:hAnsi="Times New Roman" w:cs="Times New Roman"/>
                <w:sz w:val="22"/>
                <w:szCs w:val="22"/>
              </w:rPr>
              <w:t>4</w:t>
            </w:r>
            <w:r w:rsidRPr="00E10DA3">
              <w:rPr>
                <w:rFonts w:ascii="Times New Roman" w:hAnsi="Times New Roman" w:cs="Times New Roman"/>
                <w:sz w:val="22"/>
                <w:szCs w:val="22"/>
              </w:rPr>
              <w:t xml:space="preserve"> koszty bieżącej działalności operatora rozliczeń związane z prowadzeniem rachunku opłaty kogeneracyjnej.</w:t>
            </w:r>
          </w:p>
          <w:p w14:paraId="7B3A18A5" w14:textId="77777777" w:rsidR="009B71B6" w:rsidRPr="00E10DA3" w:rsidRDefault="009B71B6" w:rsidP="009B71B6">
            <w:pPr>
              <w:pStyle w:val="ARTartustawynprozporzdzenia"/>
              <w:spacing w:before="0" w:line="276" w:lineRule="auto"/>
              <w:ind w:left="426" w:hanging="426"/>
              <w:rPr>
                <w:rFonts w:ascii="Times New Roman" w:hAnsi="Times New Roman" w:cs="Times New Roman"/>
                <w:sz w:val="22"/>
                <w:szCs w:val="22"/>
              </w:rPr>
            </w:pPr>
          </w:p>
          <w:p w14:paraId="7ED05BF6" w14:textId="1A95BA59" w:rsidR="009B71B6" w:rsidRPr="00E10DA3" w:rsidRDefault="00D00F57" w:rsidP="009B71B6">
            <w:pPr>
              <w:pStyle w:val="ARTartustawynprozporzdzenia"/>
              <w:spacing w:before="0" w:line="276" w:lineRule="auto"/>
              <w:ind w:firstLine="0"/>
              <w:rPr>
                <w:rFonts w:ascii="Times New Roman" w:hAnsi="Times New Roman" w:cs="Times New Roman"/>
                <w:sz w:val="22"/>
                <w:szCs w:val="22"/>
              </w:rPr>
            </w:pPr>
            <w:r w:rsidRPr="00E10DA3">
              <w:rPr>
                <w:rFonts w:ascii="Times New Roman" w:hAnsi="Times New Roman" w:cs="Times New Roman"/>
                <w:sz w:val="22"/>
                <w:szCs w:val="22"/>
              </w:rPr>
              <w:t>T</w:t>
            </w:r>
            <w:r w:rsidR="009B71B6" w:rsidRPr="00E10DA3">
              <w:rPr>
                <w:rFonts w:ascii="Times New Roman" w:hAnsi="Times New Roman" w:cs="Times New Roman"/>
                <w:sz w:val="22"/>
                <w:szCs w:val="22"/>
              </w:rPr>
              <w:t xml:space="preserve">abela </w:t>
            </w:r>
            <w:r w:rsidRPr="00E10DA3">
              <w:rPr>
                <w:rFonts w:ascii="Times New Roman" w:hAnsi="Times New Roman" w:cs="Times New Roman"/>
                <w:sz w:val="22"/>
                <w:szCs w:val="22"/>
              </w:rPr>
              <w:t xml:space="preserve">nr 1 </w:t>
            </w:r>
            <w:r w:rsidR="009B71B6" w:rsidRPr="00E10DA3">
              <w:rPr>
                <w:rFonts w:ascii="Times New Roman" w:hAnsi="Times New Roman" w:cs="Times New Roman"/>
                <w:sz w:val="22"/>
                <w:szCs w:val="22"/>
              </w:rPr>
              <w:t>przedstawia przyjęte do obliczenia wysokości stawki opłaty kogeneracyjnej na 202</w:t>
            </w:r>
            <w:r w:rsidR="00F04E1C" w:rsidRPr="00E10DA3">
              <w:rPr>
                <w:rFonts w:ascii="Times New Roman" w:hAnsi="Times New Roman" w:cs="Times New Roman"/>
                <w:sz w:val="22"/>
                <w:szCs w:val="22"/>
              </w:rPr>
              <w:t>4</w:t>
            </w:r>
            <w:r w:rsidR="009B71B6" w:rsidRPr="00E10DA3">
              <w:rPr>
                <w:rFonts w:ascii="Times New Roman" w:hAnsi="Times New Roman" w:cs="Times New Roman"/>
                <w:sz w:val="22"/>
                <w:szCs w:val="22"/>
              </w:rPr>
              <w:t xml:space="preserve"> r. wartości wraz ze źródłem pozyskania danych.</w:t>
            </w:r>
          </w:p>
          <w:p w14:paraId="1A64ED79" w14:textId="77777777" w:rsidR="009B71B6" w:rsidRPr="00E10DA3" w:rsidRDefault="009B71B6" w:rsidP="009B71B6">
            <w:pPr>
              <w:pStyle w:val="ARTartustawynprozporzdzenia"/>
              <w:spacing w:before="0" w:line="276" w:lineRule="auto"/>
              <w:ind w:firstLine="0"/>
              <w:rPr>
                <w:rFonts w:ascii="Times New Roman" w:hAnsi="Times New Roman" w:cs="Times New Roman"/>
                <w:sz w:val="22"/>
                <w:szCs w:val="22"/>
              </w:rPr>
            </w:pPr>
          </w:p>
          <w:p w14:paraId="2CF6ED3C" w14:textId="01B85070" w:rsidR="009B71B6" w:rsidRPr="00E10DA3" w:rsidRDefault="009B71B6" w:rsidP="009B71B6">
            <w:pPr>
              <w:pStyle w:val="ARTartustawynprozporzdzenia"/>
              <w:spacing w:before="0" w:line="276" w:lineRule="auto"/>
              <w:ind w:firstLine="0"/>
              <w:rPr>
                <w:rFonts w:ascii="Times New Roman" w:hAnsi="Times New Roman" w:cs="Times New Roman"/>
                <w:b/>
                <w:bCs/>
                <w:sz w:val="22"/>
                <w:szCs w:val="22"/>
              </w:rPr>
            </w:pPr>
            <w:r w:rsidRPr="00E10DA3">
              <w:rPr>
                <w:rFonts w:ascii="Times New Roman" w:hAnsi="Times New Roman" w:cs="Times New Roman"/>
                <w:b/>
                <w:bCs/>
                <w:sz w:val="22"/>
                <w:szCs w:val="22"/>
              </w:rPr>
              <w:t xml:space="preserve">Tabela </w:t>
            </w:r>
            <w:r w:rsidR="00580FC3" w:rsidRPr="00E10DA3">
              <w:rPr>
                <w:rFonts w:ascii="Times New Roman" w:hAnsi="Times New Roman" w:cs="Times New Roman"/>
                <w:b/>
                <w:bCs/>
                <w:sz w:val="22"/>
                <w:szCs w:val="22"/>
              </w:rPr>
              <w:t xml:space="preserve">nr </w:t>
            </w:r>
            <w:r w:rsidRPr="00E10DA3">
              <w:rPr>
                <w:rFonts w:ascii="Times New Roman" w:hAnsi="Times New Roman" w:cs="Times New Roman"/>
                <w:b/>
                <w:bCs/>
                <w:sz w:val="22"/>
                <w:szCs w:val="22"/>
              </w:rPr>
              <w:t>1. Wartości oraz źródła przyjętych danych do obliczenia wysokości stawki opłaty kogeneracyjnej na 202</w:t>
            </w:r>
            <w:r w:rsidR="00F04E1C" w:rsidRPr="00E10DA3">
              <w:rPr>
                <w:rFonts w:ascii="Times New Roman" w:hAnsi="Times New Roman" w:cs="Times New Roman"/>
                <w:b/>
                <w:bCs/>
                <w:sz w:val="22"/>
                <w:szCs w:val="22"/>
              </w:rPr>
              <w:t>4</w:t>
            </w:r>
            <w:r w:rsidRPr="00E10DA3">
              <w:rPr>
                <w:rFonts w:ascii="Times New Roman" w:hAnsi="Times New Roman" w:cs="Times New Roman"/>
                <w:b/>
                <w:bCs/>
                <w:sz w:val="22"/>
                <w:szCs w:val="22"/>
              </w:rPr>
              <w:t xml:space="preserve"> r. </w:t>
            </w:r>
          </w:p>
          <w:tbl>
            <w:tblPr>
              <w:tblStyle w:val="Tabela-Siatka"/>
              <w:tblW w:w="0" w:type="auto"/>
              <w:tblLayout w:type="fixed"/>
              <w:tblLook w:val="04A0" w:firstRow="1" w:lastRow="0" w:firstColumn="1" w:lastColumn="0" w:noHBand="0" w:noVBand="1"/>
            </w:tblPr>
            <w:tblGrid>
              <w:gridCol w:w="887"/>
              <w:gridCol w:w="851"/>
              <w:gridCol w:w="1836"/>
              <w:gridCol w:w="7051"/>
            </w:tblGrid>
            <w:tr w:rsidR="009B71B6" w:rsidRPr="00E10DA3" w14:paraId="332E2A6B" w14:textId="77777777" w:rsidTr="003801FB">
              <w:tc>
                <w:tcPr>
                  <w:tcW w:w="1738" w:type="dxa"/>
                  <w:gridSpan w:val="2"/>
                  <w:shd w:val="clear" w:color="auto" w:fill="D9D9D9" w:themeFill="background1" w:themeFillShade="D9"/>
                </w:tcPr>
                <w:p w14:paraId="17F7EC11"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Dane</w:t>
                  </w:r>
                </w:p>
              </w:tc>
              <w:tc>
                <w:tcPr>
                  <w:tcW w:w="1836" w:type="dxa"/>
                  <w:shd w:val="clear" w:color="auto" w:fill="D9D9D9" w:themeFill="background1" w:themeFillShade="D9"/>
                </w:tcPr>
                <w:p w14:paraId="1D2816C7"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Wartość</w:t>
                  </w:r>
                </w:p>
              </w:tc>
              <w:tc>
                <w:tcPr>
                  <w:tcW w:w="7051" w:type="dxa"/>
                  <w:shd w:val="clear" w:color="auto" w:fill="D9D9D9" w:themeFill="background1" w:themeFillShade="D9"/>
                </w:tcPr>
                <w:p w14:paraId="25FE9887"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Źródło danych</w:t>
                  </w:r>
                </w:p>
              </w:tc>
            </w:tr>
            <w:tr w:rsidR="009B71B6" w:rsidRPr="00E10DA3" w14:paraId="4B8AE145" w14:textId="77777777" w:rsidTr="003801FB">
              <w:tc>
                <w:tcPr>
                  <w:tcW w:w="887" w:type="dxa"/>
                  <w:shd w:val="clear" w:color="auto" w:fill="D9D9D9" w:themeFill="background1" w:themeFillShade="D9"/>
                </w:tcPr>
                <w:p w14:paraId="0D1E0744"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Q</w:t>
                  </w:r>
                </w:p>
              </w:tc>
              <w:tc>
                <w:tcPr>
                  <w:tcW w:w="851" w:type="dxa"/>
                  <w:shd w:val="clear" w:color="auto" w:fill="D9D9D9" w:themeFill="background1" w:themeFillShade="D9"/>
                </w:tcPr>
                <w:p w14:paraId="54097E9D"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MWh</w:t>
                  </w:r>
                </w:p>
              </w:tc>
              <w:tc>
                <w:tcPr>
                  <w:tcW w:w="1836" w:type="dxa"/>
                </w:tcPr>
                <w:p w14:paraId="0B4B2EBF" w14:textId="1592FB6D" w:rsidR="009B71B6" w:rsidRPr="00E10DA3" w:rsidRDefault="00A0443C"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1</w:t>
                  </w:r>
                  <w:r w:rsidR="00170E0A" w:rsidRPr="00E10DA3">
                    <w:rPr>
                      <w:rFonts w:ascii="Times New Roman" w:hAnsi="Times New Roman" w:cs="Times New Roman"/>
                      <w:sz w:val="22"/>
                      <w:szCs w:val="22"/>
                    </w:rPr>
                    <w:t>28</w:t>
                  </w:r>
                  <w:r w:rsidRPr="00E10DA3">
                    <w:rPr>
                      <w:rFonts w:ascii="Times New Roman" w:hAnsi="Times New Roman" w:cs="Times New Roman"/>
                      <w:sz w:val="22"/>
                      <w:szCs w:val="22"/>
                    </w:rPr>
                    <w:t> </w:t>
                  </w:r>
                  <w:r w:rsidR="00170E0A" w:rsidRPr="00E10DA3">
                    <w:rPr>
                      <w:rFonts w:ascii="Times New Roman" w:hAnsi="Times New Roman" w:cs="Times New Roman"/>
                      <w:sz w:val="22"/>
                      <w:szCs w:val="22"/>
                    </w:rPr>
                    <w:t>593</w:t>
                  </w:r>
                  <w:r w:rsidRPr="00E10DA3">
                    <w:rPr>
                      <w:rFonts w:ascii="Times New Roman" w:hAnsi="Times New Roman" w:cs="Times New Roman"/>
                      <w:sz w:val="22"/>
                      <w:szCs w:val="22"/>
                    </w:rPr>
                    <w:t> </w:t>
                  </w:r>
                  <w:r w:rsidR="00170E0A" w:rsidRPr="00E10DA3">
                    <w:rPr>
                      <w:rFonts w:ascii="Times New Roman" w:hAnsi="Times New Roman" w:cs="Times New Roman"/>
                      <w:sz w:val="22"/>
                      <w:szCs w:val="22"/>
                    </w:rPr>
                    <w:t>955</w:t>
                  </w:r>
                  <w:r w:rsidRPr="00E10DA3">
                    <w:rPr>
                      <w:rFonts w:ascii="Times New Roman" w:hAnsi="Times New Roman" w:cs="Times New Roman"/>
                      <w:sz w:val="22"/>
                      <w:szCs w:val="22"/>
                    </w:rPr>
                    <w:t>,</w:t>
                  </w:r>
                  <w:r w:rsidR="00170E0A" w:rsidRPr="00E10DA3">
                    <w:rPr>
                      <w:rFonts w:ascii="Times New Roman" w:hAnsi="Times New Roman" w:cs="Times New Roman"/>
                      <w:sz w:val="22"/>
                      <w:szCs w:val="22"/>
                    </w:rPr>
                    <w:t>044</w:t>
                  </w:r>
                </w:p>
              </w:tc>
              <w:tc>
                <w:tcPr>
                  <w:tcW w:w="7051" w:type="dxa"/>
                </w:tcPr>
                <w:p w14:paraId="5E4D0377" w14:textId="77777777" w:rsidR="009B71B6" w:rsidRPr="00E10DA3" w:rsidRDefault="009B71B6" w:rsidP="009B71B6">
                  <w:pPr>
                    <w:pStyle w:val="ARTartustawynprozporzdzenia"/>
                    <w:spacing w:before="0" w:line="276" w:lineRule="auto"/>
                    <w:ind w:firstLine="0"/>
                    <w:rPr>
                      <w:rFonts w:ascii="Times New Roman" w:hAnsi="Times New Roman" w:cs="Times New Roman"/>
                      <w:sz w:val="22"/>
                      <w:szCs w:val="22"/>
                    </w:rPr>
                  </w:pPr>
                  <w:r w:rsidRPr="00E10DA3">
                    <w:rPr>
                      <w:rFonts w:ascii="Times New Roman" w:hAnsi="Times New Roman" w:cs="Times New Roman"/>
                      <w:sz w:val="22"/>
                      <w:szCs w:val="22"/>
                    </w:rPr>
                    <w:t>Operator Systemu Przesyłowego</w:t>
                  </w:r>
                </w:p>
              </w:tc>
            </w:tr>
            <w:tr w:rsidR="009B71B6" w:rsidRPr="00E10DA3" w14:paraId="11876AB6" w14:textId="77777777" w:rsidTr="003801FB">
              <w:tc>
                <w:tcPr>
                  <w:tcW w:w="887" w:type="dxa"/>
                  <w:shd w:val="clear" w:color="auto" w:fill="D9D9D9" w:themeFill="background1" w:themeFillShade="D9"/>
                </w:tcPr>
                <w:p w14:paraId="29F0E344"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proofErr w:type="spellStart"/>
                  <w:r w:rsidRPr="00E10DA3">
                    <w:rPr>
                      <w:rFonts w:ascii="Times New Roman" w:eastAsia="Times New Roman" w:hAnsi="Times New Roman" w:cs="Times New Roman"/>
                      <w:sz w:val="22"/>
                      <w:szCs w:val="22"/>
                    </w:rPr>
                    <w:t>ΣK</w:t>
                  </w:r>
                  <w:r w:rsidRPr="00E10DA3">
                    <w:rPr>
                      <w:rFonts w:ascii="Times New Roman" w:eastAsia="Times New Roman" w:hAnsi="Times New Roman" w:cs="Times New Roman"/>
                      <w:sz w:val="22"/>
                      <w:szCs w:val="22"/>
                      <w:vertAlign w:val="subscript"/>
                    </w:rPr>
                    <w:t>OKf</w:t>
                  </w:r>
                  <w:proofErr w:type="spellEnd"/>
                </w:p>
              </w:tc>
              <w:tc>
                <w:tcPr>
                  <w:tcW w:w="851" w:type="dxa"/>
                  <w:shd w:val="clear" w:color="auto" w:fill="D9D9D9" w:themeFill="background1" w:themeFillShade="D9"/>
                </w:tcPr>
                <w:p w14:paraId="194B8152"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zł</w:t>
                  </w:r>
                </w:p>
              </w:tc>
              <w:tc>
                <w:tcPr>
                  <w:tcW w:w="1836" w:type="dxa"/>
                </w:tcPr>
                <w:p w14:paraId="55E043EA" w14:textId="5CC86540" w:rsidR="003801FB" w:rsidRPr="00E10DA3" w:rsidRDefault="00170E0A" w:rsidP="003801FB">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655</w:t>
                  </w:r>
                  <w:r w:rsidR="003801FB" w:rsidRPr="00E10DA3">
                    <w:rPr>
                      <w:rFonts w:ascii="Times New Roman" w:hAnsi="Times New Roman" w:cs="Times New Roman"/>
                      <w:sz w:val="22"/>
                      <w:szCs w:val="22"/>
                    </w:rPr>
                    <w:t xml:space="preserve"> </w:t>
                  </w:r>
                  <w:r w:rsidRPr="00E10DA3">
                    <w:rPr>
                      <w:rFonts w:ascii="Times New Roman" w:hAnsi="Times New Roman" w:cs="Times New Roman"/>
                      <w:sz w:val="22"/>
                      <w:szCs w:val="22"/>
                    </w:rPr>
                    <w:t>635</w:t>
                  </w:r>
                  <w:r w:rsidR="003801FB" w:rsidRPr="00E10DA3">
                    <w:rPr>
                      <w:rFonts w:ascii="Times New Roman" w:hAnsi="Times New Roman" w:cs="Times New Roman"/>
                      <w:sz w:val="22"/>
                      <w:szCs w:val="22"/>
                    </w:rPr>
                    <w:t xml:space="preserve"> </w:t>
                  </w:r>
                  <w:r w:rsidRPr="00E10DA3">
                    <w:rPr>
                      <w:rFonts w:ascii="Times New Roman" w:hAnsi="Times New Roman" w:cs="Times New Roman"/>
                      <w:sz w:val="22"/>
                      <w:szCs w:val="22"/>
                    </w:rPr>
                    <w:t>963</w:t>
                  </w:r>
                  <w:r w:rsidR="003801FB" w:rsidRPr="00E10DA3">
                    <w:rPr>
                      <w:rFonts w:ascii="Times New Roman" w:hAnsi="Times New Roman" w:cs="Times New Roman"/>
                      <w:sz w:val="22"/>
                      <w:szCs w:val="22"/>
                    </w:rPr>
                    <w:t>,</w:t>
                  </w:r>
                  <w:r w:rsidRPr="00E10DA3">
                    <w:rPr>
                      <w:rFonts w:ascii="Times New Roman" w:hAnsi="Times New Roman" w:cs="Times New Roman"/>
                      <w:sz w:val="22"/>
                      <w:szCs w:val="22"/>
                    </w:rPr>
                    <w:t>69</w:t>
                  </w:r>
                </w:p>
                <w:p w14:paraId="00ACE38F" w14:textId="03439915" w:rsidR="009B71B6" w:rsidRPr="00E10DA3" w:rsidRDefault="009B71B6" w:rsidP="003801FB">
                  <w:pPr>
                    <w:pStyle w:val="ARTartustawynprozporzdzenia"/>
                    <w:spacing w:before="0" w:line="276" w:lineRule="auto"/>
                    <w:ind w:firstLine="0"/>
                    <w:jc w:val="center"/>
                    <w:rPr>
                      <w:rFonts w:ascii="Times New Roman" w:hAnsi="Times New Roman" w:cs="Times New Roman"/>
                      <w:sz w:val="22"/>
                      <w:szCs w:val="22"/>
                    </w:rPr>
                  </w:pPr>
                </w:p>
              </w:tc>
              <w:tc>
                <w:tcPr>
                  <w:tcW w:w="7051" w:type="dxa"/>
                </w:tcPr>
                <w:p w14:paraId="03A2A458" w14:textId="7CD60080" w:rsidR="009B71B6" w:rsidRPr="00E10DA3" w:rsidRDefault="005B3DA2" w:rsidP="008B0946">
                  <w:pPr>
                    <w:pStyle w:val="ARTartustawynprozporzdzenia"/>
                    <w:spacing w:before="0" w:line="276" w:lineRule="auto"/>
                    <w:ind w:firstLine="0"/>
                    <w:rPr>
                      <w:rFonts w:ascii="Times New Roman" w:hAnsi="Times New Roman" w:cs="Times New Roman"/>
                      <w:sz w:val="22"/>
                      <w:szCs w:val="22"/>
                    </w:rPr>
                  </w:pPr>
                  <w:r w:rsidRPr="00E10DA3">
                    <w:rPr>
                      <w:rFonts w:ascii="Times New Roman" w:hAnsi="Times New Roman" w:cs="Times New Roman"/>
                      <w:sz w:val="22"/>
                      <w:szCs w:val="22"/>
                    </w:rPr>
                    <w:t>Na podstawie danych Urzę</w:t>
                  </w:r>
                  <w:r w:rsidR="009B71B6" w:rsidRPr="00E10DA3">
                    <w:rPr>
                      <w:rFonts w:ascii="Times New Roman" w:hAnsi="Times New Roman" w:cs="Times New Roman"/>
                      <w:sz w:val="22"/>
                      <w:szCs w:val="22"/>
                    </w:rPr>
                    <w:t>d</w:t>
                  </w:r>
                  <w:r w:rsidRPr="00E10DA3">
                    <w:rPr>
                      <w:rFonts w:ascii="Times New Roman" w:hAnsi="Times New Roman" w:cs="Times New Roman"/>
                      <w:sz w:val="22"/>
                      <w:szCs w:val="22"/>
                    </w:rPr>
                    <w:t>u</w:t>
                  </w:r>
                  <w:r w:rsidR="009B71B6" w:rsidRPr="00E10DA3">
                    <w:rPr>
                      <w:rFonts w:ascii="Times New Roman" w:hAnsi="Times New Roman" w:cs="Times New Roman"/>
                      <w:sz w:val="22"/>
                      <w:szCs w:val="22"/>
                    </w:rPr>
                    <w:t xml:space="preserve"> Regulacji Energetyki</w:t>
                  </w:r>
                  <w:r w:rsidRPr="00E10DA3">
                    <w:rPr>
                      <w:rFonts w:ascii="Times New Roman" w:hAnsi="Times New Roman" w:cs="Times New Roman"/>
                      <w:sz w:val="22"/>
                      <w:szCs w:val="22"/>
                    </w:rPr>
                    <w:t xml:space="preserve"> oraz wielkości określonych w</w:t>
                  </w:r>
                  <w:r w:rsidR="00577D7F" w:rsidRPr="00E10DA3">
                    <w:rPr>
                      <w:rFonts w:ascii="Times New Roman" w:hAnsi="Times New Roman" w:cs="Times New Roman"/>
                      <w:sz w:val="22"/>
                      <w:szCs w:val="22"/>
                    </w:rPr>
                    <w:t xml:space="preserve"> projekcie</w:t>
                  </w:r>
                  <w:r w:rsidRPr="00E10DA3">
                    <w:rPr>
                      <w:rFonts w:ascii="Times New Roman" w:hAnsi="Times New Roman" w:cs="Times New Roman"/>
                      <w:sz w:val="22"/>
                      <w:szCs w:val="22"/>
                    </w:rPr>
                    <w:t xml:space="preserve"> rozporządzeni</w:t>
                  </w:r>
                  <w:r w:rsidR="00A0443C" w:rsidRPr="00E10DA3">
                    <w:rPr>
                      <w:rFonts w:ascii="Times New Roman" w:hAnsi="Times New Roman" w:cs="Times New Roman"/>
                      <w:sz w:val="22"/>
                      <w:szCs w:val="22"/>
                    </w:rPr>
                    <w:t>u</w:t>
                  </w:r>
                  <w:r w:rsidRPr="00E10DA3">
                    <w:rPr>
                      <w:rFonts w:ascii="Times New Roman" w:hAnsi="Times New Roman" w:cs="Times New Roman"/>
                      <w:sz w:val="22"/>
                      <w:szCs w:val="22"/>
                    </w:rPr>
                    <w:t xml:space="preserve"> w sprawie maksymalnej ilości i</w:t>
                  </w:r>
                  <w:r w:rsidR="00577D7F" w:rsidRPr="00E10DA3">
                    <w:rPr>
                      <w:rFonts w:ascii="Times New Roman" w:hAnsi="Times New Roman" w:cs="Times New Roman"/>
                      <w:sz w:val="22"/>
                      <w:szCs w:val="22"/>
                    </w:rPr>
                    <w:t> </w:t>
                  </w:r>
                  <w:r w:rsidRPr="00E10DA3">
                    <w:rPr>
                      <w:rFonts w:ascii="Times New Roman" w:hAnsi="Times New Roman" w:cs="Times New Roman"/>
                      <w:sz w:val="22"/>
                      <w:szCs w:val="22"/>
                    </w:rPr>
                    <w:t>wartości energii elektrycznej z wysokosprawnej kogeneracji objętej wsparciem oraz jednostkowych wysokości premii gwa</w:t>
                  </w:r>
                  <w:r w:rsidR="00D81BA5" w:rsidRPr="00E10DA3">
                    <w:rPr>
                      <w:rFonts w:ascii="Times New Roman" w:hAnsi="Times New Roman" w:cs="Times New Roman"/>
                      <w:sz w:val="22"/>
                      <w:szCs w:val="22"/>
                    </w:rPr>
                    <w:t xml:space="preserve">rantowanej w </w:t>
                  </w:r>
                  <w:r w:rsidR="00A0443C" w:rsidRPr="00E10DA3">
                    <w:rPr>
                      <w:rFonts w:ascii="Times New Roman" w:hAnsi="Times New Roman" w:cs="Times New Roman"/>
                      <w:sz w:val="22"/>
                      <w:szCs w:val="22"/>
                    </w:rPr>
                    <w:t>202</w:t>
                  </w:r>
                  <w:r w:rsidR="00170E0A" w:rsidRPr="00E10DA3">
                    <w:rPr>
                      <w:rFonts w:ascii="Times New Roman" w:hAnsi="Times New Roman" w:cs="Times New Roman"/>
                      <w:sz w:val="22"/>
                      <w:szCs w:val="22"/>
                    </w:rPr>
                    <w:t>4</w:t>
                  </w:r>
                  <w:r w:rsidR="00FC0931" w:rsidRPr="00E10DA3">
                    <w:rPr>
                      <w:rFonts w:ascii="Times New Roman" w:hAnsi="Times New Roman" w:cs="Times New Roman"/>
                      <w:sz w:val="22"/>
                      <w:szCs w:val="22"/>
                    </w:rPr>
                    <w:t xml:space="preserve"> r</w:t>
                  </w:r>
                  <w:r w:rsidRPr="00E10DA3">
                    <w:rPr>
                      <w:rFonts w:ascii="Times New Roman" w:hAnsi="Times New Roman" w:cs="Times New Roman"/>
                      <w:sz w:val="22"/>
                      <w:szCs w:val="22"/>
                    </w:rPr>
                    <w:t>.</w:t>
                  </w:r>
                </w:p>
              </w:tc>
            </w:tr>
            <w:tr w:rsidR="009B71B6" w:rsidRPr="00E10DA3" w14:paraId="524D661C" w14:textId="77777777" w:rsidTr="003801FB">
              <w:tc>
                <w:tcPr>
                  <w:tcW w:w="887" w:type="dxa"/>
                  <w:shd w:val="clear" w:color="auto" w:fill="D9D9D9" w:themeFill="background1" w:themeFillShade="D9"/>
                </w:tcPr>
                <w:p w14:paraId="13158392"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eastAsia="Times New Roman" w:hAnsi="Times New Roman" w:cs="Times New Roman"/>
                      <w:sz w:val="22"/>
                      <w:szCs w:val="22"/>
                    </w:rPr>
                    <w:t>E</w:t>
                  </w:r>
                  <w:r w:rsidRPr="00E10DA3">
                    <w:rPr>
                      <w:rFonts w:ascii="Times New Roman" w:eastAsia="Times New Roman" w:hAnsi="Times New Roman" w:cs="Times New Roman"/>
                      <w:sz w:val="22"/>
                      <w:szCs w:val="22"/>
                      <w:vertAlign w:val="subscript"/>
                    </w:rPr>
                    <w:t>OK</w:t>
                  </w:r>
                </w:p>
              </w:tc>
              <w:tc>
                <w:tcPr>
                  <w:tcW w:w="851" w:type="dxa"/>
                  <w:shd w:val="clear" w:color="auto" w:fill="D9D9D9" w:themeFill="background1" w:themeFillShade="D9"/>
                </w:tcPr>
                <w:p w14:paraId="3B653C21"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zł</w:t>
                  </w:r>
                </w:p>
              </w:tc>
              <w:tc>
                <w:tcPr>
                  <w:tcW w:w="1836" w:type="dxa"/>
                </w:tcPr>
                <w:p w14:paraId="35C0A3F3" w14:textId="39EF5E28" w:rsidR="009B71B6" w:rsidRPr="00E10DA3" w:rsidRDefault="00170E0A"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0</w:t>
                  </w:r>
                  <w:r w:rsidR="00E74EB8" w:rsidRPr="00E10DA3">
                    <w:rPr>
                      <w:rFonts w:ascii="Times New Roman" w:hAnsi="Times New Roman" w:cs="Times New Roman"/>
                      <w:sz w:val="22"/>
                      <w:szCs w:val="22"/>
                    </w:rPr>
                    <w:t>,00</w:t>
                  </w:r>
                </w:p>
              </w:tc>
              <w:tc>
                <w:tcPr>
                  <w:tcW w:w="7051" w:type="dxa"/>
                </w:tcPr>
                <w:p w14:paraId="3A5E64CA" w14:textId="77777777" w:rsidR="009B71B6" w:rsidRPr="00E10DA3" w:rsidRDefault="00C14101" w:rsidP="005B3DA2">
                  <w:pPr>
                    <w:autoSpaceDE w:val="0"/>
                    <w:autoSpaceDN w:val="0"/>
                    <w:adjustRightInd w:val="0"/>
                    <w:spacing w:line="276" w:lineRule="auto"/>
                    <w:jc w:val="both"/>
                    <w:rPr>
                      <w:rFonts w:ascii="Times New Roman" w:eastAsia="Times New Roman" w:hAnsi="Times New Roman" w:cs="Times New Roman"/>
                      <w:lang w:eastAsia="pl-PL"/>
                    </w:rPr>
                  </w:pPr>
                  <w:r w:rsidRPr="00E10DA3">
                    <w:rPr>
                      <w:rFonts w:ascii="Times New Roman" w:hAnsi="Times New Roman" w:cs="Times New Roman"/>
                    </w:rPr>
                    <w:t>Operator Rozliczeń</w:t>
                  </w:r>
                </w:p>
              </w:tc>
            </w:tr>
            <w:tr w:rsidR="009B71B6" w:rsidRPr="00E10DA3" w14:paraId="181093EE" w14:textId="77777777" w:rsidTr="003801FB">
              <w:tc>
                <w:tcPr>
                  <w:tcW w:w="887" w:type="dxa"/>
                  <w:shd w:val="clear" w:color="auto" w:fill="D9D9D9" w:themeFill="background1" w:themeFillShade="D9"/>
                </w:tcPr>
                <w:p w14:paraId="7E531A02"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C</w:t>
                  </w:r>
                  <w:r w:rsidRPr="00E10DA3">
                    <w:rPr>
                      <w:rFonts w:ascii="Times New Roman" w:hAnsi="Times New Roman" w:cs="Times New Roman"/>
                      <w:sz w:val="22"/>
                      <w:szCs w:val="22"/>
                      <w:vertAlign w:val="subscript"/>
                    </w:rPr>
                    <w:t>OK</w:t>
                  </w:r>
                </w:p>
              </w:tc>
              <w:tc>
                <w:tcPr>
                  <w:tcW w:w="851" w:type="dxa"/>
                  <w:shd w:val="clear" w:color="auto" w:fill="D9D9D9" w:themeFill="background1" w:themeFillShade="D9"/>
                </w:tcPr>
                <w:p w14:paraId="5519B6C3"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zł</w:t>
                  </w:r>
                </w:p>
              </w:tc>
              <w:tc>
                <w:tcPr>
                  <w:tcW w:w="1836" w:type="dxa"/>
                </w:tcPr>
                <w:p w14:paraId="56853061" w14:textId="77777777" w:rsidR="009B71B6" w:rsidRPr="00E10DA3" w:rsidRDefault="00F4439F" w:rsidP="00270F99">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0,00</w:t>
                  </w:r>
                </w:p>
              </w:tc>
              <w:tc>
                <w:tcPr>
                  <w:tcW w:w="7051" w:type="dxa"/>
                </w:tcPr>
                <w:p w14:paraId="4E9DD566" w14:textId="77777777" w:rsidR="009B71B6" w:rsidRPr="00E10DA3" w:rsidRDefault="005B3DA2" w:rsidP="009B71B6">
                  <w:pPr>
                    <w:pStyle w:val="ARTartustawynprozporzdzenia"/>
                    <w:spacing w:before="0" w:line="276" w:lineRule="auto"/>
                    <w:ind w:firstLine="0"/>
                    <w:rPr>
                      <w:rFonts w:ascii="Times New Roman" w:hAnsi="Times New Roman" w:cs="Times New Roman"/>
                      <w:sz w:val="22"/>
                      <w:szCs w:val="22"/>
                    </w:rPr>
                  </w:pPr>
                  <w:r w:rsidRPr="00E10DA3">
                    <w:rPr>
                      <w:rFonts w:ascii="Times New Roman" w:hAnsi="Times New Roman" w:cs="Times New Roman"/>
                      <w:sz w:val="22"/>
                      <w:szCs w:val="22"/>
                    </w:rPr>
                    <w:t>Operator Rozliczeń</w:t>
                  </w:r>
                  <w:r w:rsidR="009B71B6" w:rsidRPr="00E10DA3">
                    <w:rPr>
                      <w:rFonts w:ascii="Times New Roman" w:hAnsi="Times New Roman" w:cs="Times New Roman"/>
                      <w:sz w:val="22"/>
                      <w:szCs w:val="22"/>
                    </w:rPr>
                    <w:t xml:space="preserve"> </w:t>
                  </w:r>
                </w:p>
              </w:tc>
            </w:tr>
            <w:tr w:rsidR="009B71B6" w:rsidRPr="00E10DA3" w14:paraId="15A9E9BB" w14:textId="77777777" w:rsidTr="003801FB">
              <w:tc>
                <w:tcPr>
                  <w:tcW w:w="887" w:type="dxa"/>
                  <w:shd w:val="clear" w:color="auto" w:fill="D9D9D9" w:themeFill="background1" w:themeFillShade="D9"/>
                </w:tcPr>
                <w:p w14:paraId="4F07DE30"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I</w:t>
                  </w:r>
                  <w:r w:rsidRPr="00E10DA3">
                    <w:rPr>
                      <w:rFonts w:ascii="Times New Roman" w:hAnsi="Times New Roman" w:cs="Times New Roman"/>
                      <w:sz w:val="22"/>
                      <w:szCs w:val="22"/>
                      <w:vertAlign w:val="subscript"/>
                    </w:rPr>
                    <w:t>OK</w:t>
                  </w:r>
                </w:p>
              </w:tc>
              <w:tc>
                <w:tcPr>
                  <w:tcW w:w="851" w:type="dxa"/>
                  <w:shd w:val="clear" w:color="auto" w:fill="D9D9D9" w:themeFill="background1" w:themeFillShade="D9"/>
                </w:tcPr>
                <w:p w14:paraId="7BE3B146"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zł</w:t>
                  </w:r>
                </w:p>
              </w:tc>
              <w:tc>
                <w:tcPr>
                  <w:tcW w:w="1836" w:type="dxa"/>
                </w:tcPr>
                <w:p w14:paraId="6914C276" w14:textId="77777777" w:rsidR="009B71B6" w:rsidRPr="00E10DA3" w:rsidRDefault="00F4439F"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0,00</w:t>
                  </w:r>
                </w:p>
              </w:tc>
              <w:tc>
                <w:tcPr>
                  <w:tcW w:w="7051" w:type="dxa"/>
                </w:tcPr>
                <w:p w14:paraId="5C7528C5" w14:textId="77777777" w:rsidR="009B71B6" w:rsidRPr="00E10DA3" w:rsidRDefault="005B3DA2" w:rsidP="009B71B6">
                  <w:pPr>
                    <w:pStyle w:val="ARTartustawynprozporzdzenia"/>
                    <w:spacing w:before="0" w:line="276" w:lineRule="auto"/>
                    <w:ind w:firstLine="0"/>
                    <w:rPr>
                      <w:rFonts w:ascii="Times New Roman" w:hAnsi="Times New Roman" w:cs="Times New Roman"/>
                      <w:sz w:val="22"/>
                      <w:szCs w:val="22"/>
                    </w:rPr>
                  </w:pPr>
                  <w:r w:rsidRPr="00E10DA3">
                    <w:rPr>
                      <w:rFonts w:ascii="Times New Roman" w:hAnsi="Times New Roman" w:cs="Times New Roman"/>
                      <w:sz w:val="22"/>
                      <w:szCs w:val="22"/>
                    </w:rPr>
                    <w:t>Operator Rozliczeń</w:t>
                  </w:r>
                </w:p>
              </w:tc>
            </w:tr>
            <w:tr w:rsidR="009B71B6" w:rsidRPr="00E10DA3" w14:paraId="26A9AA64" w14:textId="77777777" w:rsidTr="003801FB">
              <w:tc>
                <w:tcPr>
                  <w:tcW w:w="887" w:type="dxa"/>
                  <w:shd w:val="clear" w:color="auto" w:fill="D9D9D9" w:themeFill="background1" w:themeFillShade="D9"/>
                </w:tcPr>
                <w:p w14:paraId="32786E72"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F</w:t>
                  </w:r>
                  <w:r w:rsidRPr="00E10DA3">
                    <w:rPr>
                      <w:rFonts w:ascii="Times New Roman" w:hAnsi="Times New Roman" w:cs="Times New Roman"/>
                      <w:sz w:val="22"/>
                      <w:szCs w:val="22"/>
                      <w:vertAlign w:val="subscript"/>
                    </w:rPr>
                    <w:t>OK</w:t>
                  </w:r>
                </w:p>
              </w:tc>
              <w:tc>
                <w:tcPr>
                  <w:tcW w:w="851" w:type="dxa"/>
                  <w:shd w:val="clear" w:color="auto" w:fill="D9D9D9" w:themeFill="background1" w:themeFillShade="D9"/>
                </w:tcPr>
                <w:p w14:paraId="5131D824" w14:textId="77777777" w:rsidR="009B71B6" w:rsidRPr="00E10DA3" w:rsidRDefault="009B71B6" w:rsidP="005B3DA2">
                  <w:pPr>
                    <w:pStyle w:val="ARTartustawynprozporzdzenia"/>
                    <w:spacing w:before="0" w:line="276" w:lineRule="auto"/>
                    <w:ind w:firstLine="0"/>
                    <w:jc w:val="center"/>
                    <w:rPr>
                      <w:rFonts w:ascii="Times New Roman" w:hAnsi="Times New Roman" w:cs="Times New Roman"/>
                      <w:sz w:val="22"/>
                      <w:szCs w:val="22"/>
                    </w:rPr>
                  </w:pPr>
                  <w:r w:rsidRPr="00E10DA3">
                    <w:rPr>
                      <w:rFonts w:ascii="Times New Roman" w:hAnsi="Times New Roman" w:cs="Times New Roman"/>
                      <w:sz w:val="22"/>
                      <w:szCs w:val="22"/>
                    </w:rPr>
                    <w:t>zł</w:t>
                  </w:r>
                </w:p>
              </w:tc>
              <w:tc>
                <w:tcPr>
                  <w:tcW w:w="1836" w:type="dxa"/>
                </w:tcPr>
                <w:p w14:paraId="003DB6EC" w14:textId="7A592244" w:rsidR="009B71B6" w:rsidRPr="00E10DA3" w:rsidRDefault="00577D7F" w:rsidP="005B3DA2">
                  <w:pPr>
                    <w:spacing w:line="276" w:lineRule="auto"/>
                    <w:jc w:val="center"/>
                    <w:rPr>
                      <w:rFonts w:ascii="Times New Roman" w:hAnsi="Times New Roman" w:cs="Times New Roman"/>
                      <w:color w:val="000000"/>
                    </w:rPr>
                  </w:pPr>
                  <w:r w:rsidRPr="00E10DA3">
                    <w:rPr>
                      <w:rFonts w:ascii="Times New Roman" w:hAnsi="Times New Roman" w:cs="Times New Roman"/>
                      <w:color w:val="000000"/>
                    </w:rPr>
                    <w:t>909 100</w:t>
                  </w:r>
                  <w:r w:rsidR="00E74EB8" w:rsidRPr="00E10DA3">
                    <w:rPr>
                      <w:rFonts w:ascii="Times New Roman" w:hAnsi="Times New Roman" w:cs="Times New Roman"/>
                      <w:color w:val="000000"/>
                    </w:rPr>
                    <w:t>,00</w:t>
                  </w:r>
                </w:p>
              </w:tc>
              <w:tc>
                <w:tcPr>
                  <w:tcW w:w="7051" w:type="dxa"/>
                </w:tcPr>
                <w:p w14:paraId="5A9F270B" w14:textId="77777777" w:rsidR="009B71B6" w:rsidRPr="00E10DA3" w:rsidRDefault="005B3DA2" w:rsidP="009B71B6">
                  <w:pPr>
                    <w:pStyle w:val="ARTartustawynprozporzdzenia"/>
                    <w:spacing w:before="0" w:line="276" w:lineRule="auto"/>
                    <w:ind w:firstLine="0"/>
                    <w:rPr>
                      <w:rFonts w:ascii="Times New Roman" w:hAnsi="Times New Roman" w:cs="Times New Roman"/>
                      <w:sz w:val="22"/>
                      <w:szCs w:val="22"/>
                    </w:rPr>
                  </w:pPr>
                  <w:r w:rsidRPr="00E10DA3">
                    <w:rPr>
                      <w:rFonts w:ascii="Times New Roman" w:hAnsi="Times New Roman" w:cs="Times New Roman"/>
                      <w:sz w:val="22"/>
                      <w:szCs w:val="22"/>
                    </w:rPr>
                    <w:t>Operator Rozliczeń</w:t>
                  </w:r>
                </w:p>
              </w:tc>
            </w:tr>
            <w:tr w:rsidR="005438E5" w:rsidRPr="00E10DA3" w14:paraId="1C5C4B93" w14:textId="77777777" w:rsidTr="003801FB">
              <w:tc>
                <w:tcPr>
                  <w:tcW w:w="3574" w:type="dxa"/>
                  <w:gridSpan w:val="3"/>
                  <w:shd w:val="clear" w:color="auto" w:fill="auto"/>
                </w:tcPr>
                <w:p w14:paraId="55FA7493" w14:textId="77777777" w:rsidR="005438E5" w:rsidRPr="00E10DA3" w:rsidRDefault="005438E5" w:rsidP="00035C5F">
                  <w:pPr>
                    <w:spacing w:line="276" w:lineRule="auto"/>
                    <w:rPr>
                      <w:rFonts w:ascii="Times New Roman" w:hAnsi="Times New Roman" w:cs="Times New Roman"/>
                      <w:color w:val="000000"/>
                    </w:rPr>
                  </w:pPr>
                  <w:r w:rsidRPr="00E10DA3">
                    <w:rPr>
                      <w:rFonts w:ascii="Times New Roman" w:hAnsi="Times New Roman" w:cs="Times New Roman"/>
                      <w:color w:val="000000"/>
                    </w:rPr>
                    <w:t>Dane umożliwiające ustalenie kosztów mechanizmu ulgi w opłacie kogeneracyjnej dla odbiorców energochłonnych</w:t>
                  </w:r>
                </w:p>
              </w:tc>
              <w:tc>
                <w:tcPr>
                  <w:tcW w:w="7051" w:type="dxa"/>
                </w:tcPr>
                <w:p w14:paraId="045718BA" w14:textId="77777777" w:rsidR="005438E5" w:rsidRPr="00E10DA3" w:rsidRDefault="005438E5" w:rsidP="005438E5">
                  <w:pPr>
                    <w:pStyle w:val="ARTartustawynprozporzdzenia"/>
                    <w:spacing w:before="0" w:line="276" w:lineRule="auto"/>
                    <w:ind w:firstLine="0"/>
                    <w:rPr>
                      <w:rFonts w:ascii="Times New Roman" w:hAnsi="Times New Roman" w:cs="Times New Roman"/>
                      <w:sz w:val="22"/>
                      <w:szCs w:val="22"/>
                    </w:rPr>
                  </w:pPr>
                  <w:r w:rsidRPr="00E10DA3">
                    <w:rPr>
                      <w:rFonts w:ascii="Times New Roman" w:hAnsi="Times New Roman" w:cs="Times New Roman"/>
                      <w:sz w:val="22"/>
                      <w:szCs w:val="22"/>
                    </w:rPr>
                    <w:t>Urząd Regulacji Energetyki</w:t>
                  </w:r>
                </w:p>
              </w:tc>
            </w:tr>
          </w:tbl>
          <w:p w14:paraId="1BCBFC21" w14:textId="77777777" w:rsidR="009B71B6" w:rsidRPr="00E10DA3" w:rsidRDefault="009B71B6" w:rsidP="00660CD7">
            <w:pPr>
              <w:pStyle w:val="ARTartustawynprozporzdzenia"/>
              <w:spacing w:before="0" w:line="276" w:lineRule="auto"/>
              <w:ind w:firstLine="0"/>
              <w:rPr>
                <w:rFonts w:ascii="Times New Roman" w:hAnsi="Times New Roman" w:cs="Times New Roman"/>
                <w:sz w:val="22"/>
                <w:szCs w:val="22"/>
              </w:rPr>
            </w:pPr>
          </w:p>
          <w:p w14:paraId="3A4A63F9" w14:textId="236362A9" w:rsidR="00505B94" w:rsidRPr="00E10DA3" w:rsidRDefault="00C14101" w:rsidP="001F2F8D">
            <w:pPr>
              <w:pStyle w:val="ARTartustawynprozporzdzenia"/>
              <w:spacing w:before="0" w:line="276" w:lineRule="auto"/>
              <w:ind w:firstLine="0"/>
              <w:rPr>
                <w:rFonts w:ascii="Times New Roman" w:hAnsi="Times New Roman" w:cs="Times New Roman"/>
                <w:sz w:val="22"/>
                <w:szCs w:val="22"/>
              </w:rPr>
            </w:pPr>
            <w:r w:rsidRPr="00E10DA3">
              <w:rPr>
                <w:rFonts w:ascii="Times New Roman" w:hAnsi="Times New Roman" w:cs="Times New Roman"/>
                <w:sz w:val="22"/>
                <w:szCs w:val="22"/>
              </w:rPr>
              <w:t xml:space="preserve">Wysokość stawki opłaty kogeneracyjnej, </w:t>
            </w:r>
            <w:r w:rsidR="003A00BD" w:rsidRPr="00E10DA3">
              <w:rPr>
                <w:rFonts w:ascii="Times New Roman" w:hAnsi="Times New Roman" w:cs="Times New Roman"/>
                <w:sz w:val="22"/>
                <w:szCs w:val="22"/>
              </w:rPr>
              <w:t xml:space="preserve">obliczona zgodnie z </w:t>
            </w:r>
            <w:r w:rsidR="006F605A" w:rsidRPr="00E10DA3">
              <w:rPr>
                <w:rFonts w:ascii="Times New Roman" w:hAnsi="Times New Roman" w:cs="Times New Roman"/>
                <w:sz w:val="22"/>
                <w:szCs w:val="22"/>
              </w:rPr>
              <w:t>powyższymi</w:t>
            </w:r>
            <w:r w:rsidR="003A00BD" w:rsidRPr="00E10DA3">
              <w:rPr>
                <w:rFonts w:ascii="Times New Roman" w:hAnsi="Times New Roman" w:cs="Times New Roman"/>
                <w:sz w:val="22"/>
                <w:szCs w:val="22"/>
              </w:rPr>
              <w:t xml:space="preserve"> wzorami</w:t>
            </w:r>
            <w:r w:rsidR="005848A6" w:rsidRPr="00E10DA3">
              <w:rPr>
                <w:rFonts w:ascii="Times New Roman" w:hAnsi="Times New Roman" w:cs="Times New Roman"/>
                <w:sz w:val="22"/>
                <w:szCs w:val="22"/>
              </w:rPr>
              <w:t>, nie uwzględniają</w:t>
            </w:r>
            <w:r w:rsidR="00AE7EFD" w:rsidRPr="00E10DA3">
              <w:rPr>
                <w:rFonts w:ascii="Times New Roman" w:hAnsi="Times New Roman" w:cs="Times New Roman"/>
                <w:sz w:val="22"/>
                <w:szCs w:val="22"/>
              </w:rPr>
              <w:t>ca</w:t>
            </w:r>
            <w:r w:rsidR="005848A6" w:rsidRPr="00E10DA3">
              <w:rPr>
                <w:rFonts w:ascii="Times New Roman" w:hAnsi="Times New Roman" w:cs="Times New Roman"/>
                <w:sz w:val="22"/>
                <w:szCs w:val="22"/>
              </w:rPr>
              <w:t xml:space="preserve"> </w:t>
            </w:r>
            <w:r w:rsidR="00AE7EFD" w:rsidRPr="00E10DA3">
              <w:rPr>
                <w:rFonts w:ascii="Times New Roman" w:hAnsi="Times New Roman" w:cs="Times New Roman"/>
                <w:sz w:val="22"/>
                <w:szCs w:val="22"/>
              </w:rPr>
              <w:t>ulgi w </w:t>
            </w:r>
            <w:r w:rsidR="003A00BD" w:rsidRPr="00E10DA3">
              <w:rPr>
                <w:rFonts w:ascii="Times New Roman" w:hAnsi="Times New Roman" w:cs="Times New Roman"/>
                <w:sz w:val="22"/>
                <w:szCs w:val="22"/>
              </w:rPr>
              <w:t>opłacie kogeneracyjnej dla przedsiębiorstw energochłonnych</w:t>
            </w:r>
            <w:r w:rsidR="00AE7EFD" w:rsidRPr="00E10DA3">
              <w:rPr>
                <w:rFonts w:ascii="Times New Roman" w:hAnsi="Times New Roman" w:cs="Times New Roman"/>
                <w:sz w:val="22"/>
                <w:szCs w:val="22"/>
              </w:rPr>
              <w:t xml:space="preserve">, wynosi </w:t>
            </w:r>
            <w:r w:rsidR="006D7AA1" w:rsidRPr="00E10DA3">
              <w:rPr>
                <w:rFonts w:ascii="Times New Roman" w:hAnsi="Times New Roman" w:cs="Times New Roman"/>
                <w:sz w:val="22"/>
                <w:szCs w:val="22"/>
              </w:rPr>
              <w:t>5,11</w:t>
            </w:r>
            <w:r w:rsidR="00AE7EFD" w:rsidRPr="00E10DA3">
              <w:rPr>
                <w:rFonts w:ascii="Times New Roman" w:hAnsi="Times New Roman" w:cs="Times New Roman"/>
                <w:sz w:val="22"/>
                <w:szCs w:val="22"/>
              </w:rPr>
              <w:t xml:space="preserve"> zł/</w:t>
            </w:r>
            <w:r w:rsidR="003A00BD" w:rsidRPr="00E10DA3">
              <w:rPr>
                <w:rFonts w:ascii="Times New Roman" w:hAnsi="Times New Roman" w:cs="Times New Roman"/>
                <w:sz w:val="22"/>
                <w:szCs w:val="22"/>
              </w:rPr>
              <w:t>MWh.</w:t>
            </w:r>
            <w:r w:rsidR="00144122" w:rsidRPr="00E10DA3">
              <w:rPr>
                <w:rFonts w:ascii="Times New Roman" w:hAnsi="Times New Roman" w:cs="Times New Roman"/>
                <w:sz w:val="22"/>
                <w:szCs w:val="22"/>
              </w:rPr>
              <w:t xml:space="preserve"> </w:t>
            </w:r>
            <w:r w:rsidR="00D7543E" w:rsidRPr="00E10DA3">
              <w:rPr>
                <w:rFonts w:ascii="Times New Roman" w:hAnsi="Times New Roman" w:cs="Times New Roman"/>
                <w:sz w:val="22"/>
                <w:szCs w:val="22"/>
              </w:rPr>
              <w:t xml:space="preserve">Jednakże zgodnie z art. 62 ust. 2 ustawy odbiorcy energochłonni uprawnieni są do ulgi w opłacie kogeneracyjnej, której wielkość zależy od wartości współczynnika intensywności zużycia energii elektrycznej. Stawka opłaty kogeneracyjnej uwzględniająca ulgi dla odbiorców energochłonnych wynosi </w:t>
            </w:r>
            <w:r w:rsidR="006D7AA1" w:rsidRPr="00E10DA3">
              <w:rPr>
                <w:rFonts w:ascii="Times New Roman" w:hAnsi="Times New Roman" w:cs="Times New Roman"/>
                <w:sz w:val="22"/>
                <w:szCs w:val="22"/>
              </w:rPr>
              <w:t>5</w:t>
            </w:r>
            <w:r w:rsidR="0077117D" w:rsidRPr="00E10DA3">
              <w:rPr>
                <w:rFonts w:ascii="Times New Roman" w:hAnsi="Times New Roman" w:cs="Times New Roman"/>
                <w:sz w:val="22"/>
                <w:szCs w:val="22"/>
              </w:rPr>
              <w:t>,</w:t>
            </w:r>
            <w:r w:rsidR="006D7AA1" w:rsidRPr="00E10DA3">
              <w:rPr>
                <w:rFonts w:ascii="Times New Roman" w:hAnsi="Times New Roman" w:cs="Times New Roman"/>
                <w:sz w:val="22"/>
                <w:szCs w:val="22"/>
              </w:rPr>
              <w:t>70</w:t>
            </w:r>
            <w:r w:rsidR="00577D7F" w:rsidRPr="00E10DA3">
              <w:rPr>
                <w:rFonts w:ascii="Times New Roman" w:hAnsi="Times New Roman" w:cs="Times New Roman"/>
                <w:sz w:val="22"/>
                <w:szCs w:val="22"/>
              </w:rPr>
              <w:t xml:space="preserve"> </w:t>
            </w:r>
            <w:r w:rsidR="00D7543E" w:rsidRPr="00E10DA3">
              <w:rPr>
                <w:rFonts w:ascii="Times New Roman" w:hAnsi="Times New Roman" w:cs="Times New Roman"/>
                <w:sz w:val="22"/>
                <w:szCs w:val="22"/>
              </w:rPr>
              <w:t>zł/MWh, co stanowi</w:t>
            </w:r>
            <w:r w:rsidR="00254DD7" w:rsidRPr="00E10DA3">
              <w:rPr>
                <w:rFonts w:ascii="Times New Roman" w:hAnsi="Times New Roman" w:cs="Times New Roman"/>
                <w:sz w:val="22"/>
                <w:szCs w:val="22"/>
              </w:rPr>
              <w:t>łoby</w:t>
            </w:r>
            <w:r w:rsidR="00D7543E" w:rsidRPr="00E10DA3">
              <w:rPr>
                <w:rFonts w:ascii="Times New Roman" w:hAnsi="Times New Roman" w:cs="Times New Roman"/>
                <w:sz w:val="22"/>
                <w:szCs w:val="22"/>
              </w:rPr>
              <w:t xml:space="preserve"> </w:t>
            </w:r>
            <w:r w:rsidR="0024314D" w:rsidRPr="00E10DA3">
              <w:rPr>
                <w:rFonts w:ascii="Times New Roman" w:hAnsi="Times New Roman" w:cs="Times New Roman"/>
                <w:sz w:val="22"/>
                <w:szCs w:val="22"/>
              </w:rPr>
              <w:t xml:space="preserve">średnie </w:t>
            </w:r>
            <w:r w:rsidR="00D7543E" w:rsidRPr="00E10DA3">
              <w:rPr>
                <w:rFonts w:ascii="Times New Roman" w:hAnsi="Times New Roman" w:cs="Times New Roman"/>
                <w:sz w:val="22"/>
                <w:szCs w:val="22"/>
              </w:rPr>
              <w:t>obciążenie w</w:t>
            </w:r>
            <w:r w:rsidR="00505B94" w:rsidRPr="00E10DA3">
              <w:rPr>
                <w:rFonts w:ascii="Times New Roman" w:hAnsi="Times New Roman" w:cs="Times New Roman"/>
                <w:sz w:val="22"/>
                <w:szCs w:val="22"/>
              </w:rPr>
              <w:t> </w:t>
            </w:r>
            <w:r w:rsidR="00D7543E" w:rsidRPr="00E10DA3">
              <w:rPr>
                <w:rFonts w:ascii="Times New Roman" w:hAnsi="Times New Roman" w:cs="Times New Roman"/>
                <w:sz w:val="22"/>
                <w:szCs w:val="22"/>
              </w:rPr>
              <w:t xml:space="preserve">wysokości ok. </w:t>
            </w:r>
            <w:r w:rsidR="006D7AA1" w:rsidRPr="00E10DA3">
              <w:rPr>
                <w:rFonts w:ascii="Times New Roman" w:hAnsi="Times New Roman" w:cs="Times New Roman"/>
                <w:sz w:val="22"/>
                <w:szCs w:val="22"/>
              </w:rPr>
              <w:t>17,10</w:t>
            </w:r>
            <w:r w:rsidR="00D7543E" w:rsidRPr="00E10DA3">
              <w:rPr>
                <w:rFonts w:ascii="Times New Roman" w:hAnsi="Times New Roman" w:cs="Times New Roman"/>
                <w:sz w:val="22"/>
                <w:szCs w:val="22"/>
              </w:rPr>
              <w:t xml:space="preserve"> zł/rok/gospodarstwo domowe</w:t>
            </w:r>
            <w:r w:rsidR="006D7AA1" w:rsidRPr="00E10DA3">
              <w:rPr>
                <w:rFonts w:ascii="Times New Roman" w:hAnsi="Times New Roman" w:cs="Times New Roman"/>
                <w:sz w:val="22"/>
                <w:szCs w:val="22"/>
              </w:rPr>
              <w:t xml:space="preserve"> (średnie zużycie 3 MWh/rok) </w:t>
            </w:r>
            <w:r w:rsidR="00D7543E" w:rsidRPr="00E10DA3">
              <w:rPr>
                <w:rFonts w:ascii="Times New Roman" w:hAnsi="Times New Roman" w:cs="Times New Roman"/>
                <w:sz w:val="22"/>
                <w:szCs w:val="22"/>
              </w:rPr>
              <w:t xml:space="preserve">. </w:t>
            </w:r>
          </w:p>
          <w:p w14:paraId="1FC54B28" w14:textId="239D2C75" w:rsidR="001F2F8D" w:rsidRPr="00E10DA3" w:rsidRDefault="00505B94" w:rsidP="001F2F8D">
            <w:pPr>
              <w:pStyle w:val="ARTartustawynprozporzdzenia"/>
              <w:spacing w:before="0" w:line="276" w:lineRule="auto"/>
              <w:ind w:firstLine="0"/>
              <w:rPr>
                <w:rFonts w:ascii="Times New Roman" w:hAnsi="Times New Roman" w:cs="Times New Roman"/>
                <w:sz w:val="22"/>
                <w:szCs w:val="22"/>
              </w:rPr>
            </w:pPr>
            <w:r w:rsidRPr="00E10DA3">
              <w:rPr>
                <w:rFonts w:ascii="Times New Roman" w:hAnsi="Times New Roman" w:cs="Times New Roman"/>
                <w:sz w:val="22"/>
                <w:szCs w:val="22"/>
              </w:rPr>
              <w:t>W celu ochrony odbiorców energii elektrycznej przed wzrostem rachunków za energię elektryczną podjęto działania w</w:t>
            </w:r>
            <w:r w:rsidR="00254DD7" w:rsidRPr="00E10DA3">
              <w:rPr>
                <w:rFonts w:ascii="Times New Roman" w:hAnsi="Times New Roman" w:cs="Times New Roman"/>
                <w:sz w:val="22"/>
                <w:szCs w:val="22"/>
              </w:rPr>
              <w:t> </w:t>
            </w:r>
            <w:r w:rsidRPr="00E10DA3">
              <w:rPr>
                <w:rFonts w:ascii="Times New Roman" w:hAnsi="Times New Roman" w:cs="Times New Roman"/>
                <w:sz w:val="22"/>
                <w:szCs w:val="22"/>
              </w:rPr>
              <w:t>celu ustalenia poziomu stawki opłaty kogeneracyjnej na 202</w:t>
            </w:r>
            <w:r w:rsidR="00F04E1C" w:rsidRPr="00E10DA3">
              <w:rPr>
                <w:rFonts w:ascii="Times New Roman" w:hAnsi="Times New Roman" w:cs="Times New Roman"/>
                <w:sz w:val="22"/>
                <w:szCs w:val="22"/>
              </w:rPr>
              <w:t>4</w:t>
            </w:r>
            <w:r w:rsidRPr="00E10DA3">
              <w:rPr>
                <w:rFonts w:ascii="Times New Roman" w:hAnsi="Times New Roman" w:cs="Times New Roman"/>
                <w:sz w:val="22"/>
                <w:szCs w:val="22"/>
              </w:rPr>
              <w:t xml:space="preserve"> r. na</w:t>
            </w:r>
            <w:r w:rsidR="0077117D" w:rsidRPr="00E10DA3">
              <w:rPr>
                <w:rFonts w:ascii="Times New Roman" w:hAnsi="Times New Roman" w:cs="Times New Roman"/>
                <w:sz w:val="22"/>
                <w:szCs w:val="22"/>
              </w:rPr>
              <w:t xml:space="preserve"> takim</w:t>
            </w:r>
            <w:r w:rsidRPr="00E10DA3">
              <w:rPr>
                <w:rFonts w:ascii="Times New Roman" w:hAnsi="Times New Roman" w:cs="Times New Roman"/>
                <w:sz w:val="22"/>
                <w:szCs w:val="22"/>
              </w:rPr>
              <w:t xml:space="preserve"> poziomie</w:t>
            </w:r>
            <w:r w:rsidR="0077117D" w:rsidRPr="00E10DA3">
              <w:rPr>
                <w:rFonts w:ascii="Times New Roman" w:hAnsi="Times New Roman" w:cs="Times New Roman"/>
                <w:sz w:val="22"/>
                <w:szCs w:val="22"/>
              </w:rPr>
              <w:t>, który nie będzie powodować wzrostu średniej ceny energii elektrycznej.</w:t>
            </w:r>
            <w:r w:rsidRPr="00E10DA3">
              <w:rPr>
                <w:rFonts w:ascii="Times New Roman" w:hAnsi="Times New Roman" w:cs="Times New Roman"/>
                <w:sz w:val="22"/>
                <w:szCs w:val="22"/>
              </w:rPr>
              <w:t xml:space="preserve"> Biorąc pod uwagę prognozowany stan środków na rachunku opłaty kogeneracyjnej na dzień 31 grudnia 202</w:t>
            </w:r>
            <w:r w:rsidR="00F04E1C" w:rsidRPr="00E10DA3">
              <w:rPr>
                <w:rFonts w:ascii="Times New Roman" w:hAnsi="Times New Roman" w:cs="Times New Roman"/>
                <w:sz w:val="22"/>
                <w:szCs w:val="22"/>
              </w:rPr>
              <w:t>3</w:t>
            </w:r>
            <w:r w:rsidRPr="00E10DA3">
              <w:rPr>
                <w:rFonts w:ascii="Times New Roman" w:hAnsi="Times New Roman" w:cs="Times New Roman"/>
                <w:sz w:val="22"/>
                <w:szCs w:val="22"/>
              </w:rPr>
              <w:t xml:space="preserve"> </w:t>
            </w:r>
            <w:r w:rsidR="00580FC3" w:rsidRPr="00E10DA3">
              <w:rPr>
                <w:rFonts w:ascii="Times New Roman" w:hAnsi="Times New Roman" w:cs="Times New Roman"/>
                <w:sz w:val="22"/>
                <w:szCs w:val="22"/>
              </w:rPr>
              <w:t xml:space="preserve">r. </w:t>
            </w:r>
            <w:r w:rsidR="000E1E6E">
              <w:rPr>
                <w:rFonts w:ascii="Times New Roman" w:hAnsi="Times New Roman" w:cs="Times New Roman"/>
                <w:sz w:val="22"/>
                <w:szCs w:val="22"/>
              </w:rPr>
              <w:t>p</w:t>
            </w:r>
            <w:r w:rsidR="00E10DA3" w:rsidRPr="00E10DA3">
              <w:rPr>
                <w:rFonts w:ascii="Times New Roman" w:hAnsi="Times New Roman" w:cs="Times New Roman"/>
                <w:sz w:val="22"/>
                <w:szCs w:val="22"/>
              </w:rPr>
              <w:t>roponuje się ustalenie opłaty kogeneracyjnej na poziomie roku 2023 tj.:</w:t>
            </w:r>
            <w:r w:rsidRPr="00E10DA3">
              <w:rPr>
                <w:rFonts w:ascii="Times New Roman" w:hAnsi="Times New Roman" w:cs="Times New Roman"/>
                <w:sz w:val="22"/>
                <w:szCs w:val="22"/>
              </w:rPr>
              <w:t xml:space="preserve"> </w:t>
            </w:r>
            <w:r w:rsidR="00E10DA3" w:rsidRPr="00E10DA3">
              <w:rPr>
                <w:rFonts w:ascii="Times New Roman" w:hAnsi="Times New Roman" w:cs="Times New Roman"/>
                <w:sz w:val="22"/>
                <w:szCs w:val="22"/>
              </w:rPr>
              <w:t xml:space="preserve">4,96 zł/MWh </w:t>
            </w:r>
            <w:r w:rsidRPr="00E10DA3">
              <w:rPr>
                <w:rFonts w:ascii="Times New Roman" w:hAnsi="Times New Roman" w:cs="Times New Roman"/>
                <w:sz w:val="22"/>
                <w:szCs w:val="22"/>
              </w:rPr>
              <w:t>(uwzględniając ulgi w opłacie kogeneracyjnej dla odbiorców energochłonnych)</w:t>
            </w:r>
            <w:r w:rsidR="00E10DA3" w:rsidRPr="00E10DA3">
              <w:rPr>
                <w:rFonts w:ascii="Times New Roman" w:hAnsi="Times New Roman" w:cs="Times New Roman"/>
                <w:sz w:val="22"/>
                <w:szCs w:val="22"/>
              </w:rPr>
              <w:t>.</w:t>
            </w:r>
            <w:r w:rsidR="009C3DE7" w:rsidRPr="00E10DA3">
              <w:rPr>
                <w:rFonts w:ascii="Times New Roman" w:hAnsi="Times New Roman" w:cs="Times New Roman"/>
                <w:sz w:val="22"/>
                <w:szCs w:val="22"/>
              </w:rPr>
              <w:t xml:space="preserve"> </w:t>
            </w:r>
            <w:r w:rsidR="00D7543E" w:rsidRPr="00E10DA3">
              <w:rPr>
                <w:rFonts w:ascii="Times New Roman" w:hAnsi="Times New Roman" w:cs="Times New Roman"/>
                <w:sz w:val="22"/>
                <w:szCs w:val="22"/>
              </w:rPr>
              <w:t>Dane dotyczące odbiorców energochłonnych umożliwiające określenie kosztu mechanizmu ulgi w opłacie kogeneracyjnej oraz wysokości stawki opłaty kogeneracyjnej uwzględniającej tą ulgę, zostały uzyskane z Urzędu Regulacji Energetyki.</w:t>
            </w:r>
          </w:p>
          <w:p w14:paraId="55BBD401" w14:textId="0D1E7DDB" w:rsidR="00605FE3" w:rsidRPr="00E10DA3" w:rsidRDefault="00605FE3" w:rsidP="00605FE3">
            <w:pPr>
              <w:pStyle w:val="ARTartustawynprozporzdzenia"/>
              <w:spacing w:line="276" w:lineRule="auto"/>
              <w:ind w:firstLine="0"/>
              <w:rPr>
                <w:rFonts w:ascii="Times New Roman" w:hAnsi="Times New Roman" w:cs="Times New Roman"/>
                <w:sz w:val="22"/>
                <w:szCs w:val="22"/>
              </w:rPr>
            </w:pPr>
            <w:r w:rsidRPr="00E10DA3">
              <w:rPr>
                <w:rFonts w:ascii="Times New Roman" w:hAnsi="Times New Roman" w:cs="Times New Roman"/>
                <w:sz w:val="22"/>
                <w:szCs w:val="22"/>
              </w:rPr>
              <w:t>Zgodnie z art. 69 ust. 1 ustawy</w:t>
            </w:r>
            <w:r w:rsidR="00255314" w:rsidRPr="00E10DA3">
              <w:rPr>
                <w:rFonts w:ascii="Times New Roman" w:hAnsi="Times New Roman" w:cs="Times New Roman"/>
                <w:sz w:val="22"/>
                <w:szCs w:val="22"/>
              </w:rPr>
              <w:t xml:space="preserve"> w</w:t>
            </w:r>
            <w:r w:rsidRPr="00E10DA3">
              <w:rPr>
                <w:rFonts w:ascii="Times New Roman" w:hAnsi="Times New Roman" w:cs="Times New Roman"/>
                <w:sz w:val="22"/>
                <w:szCs w:val="22"/>
              </w:rPr>
              <w:t xml:space="preserve"> przypadku, gdy kwota środków na rachunku opłaty kogeneracyjnej oraz na lokatach, o których mowa w art. 72, jest niewystarczająca na wypłatę premii kogeneracyjnej, premii gwarantowanej, premii gwarantowanej indywidualnej oraz premii kogeneracyjnej indywidualnej, operator rozliczeń:</w:t>
            </w:r>
            <w:bookmarkStart w:id="4" w:name="mip62696021"/>
            <w:bookmarkEnd w:id="4"/>
          </w:p>
          <w:p w14:paraId="1CAE6795" w14:textId="77777777" w:rsidR="00605FE3" w:rsidRPr="00E10DA3" w:rsidRDefault="00605FE3" w:rsidP="00605FE3">
            <w:pPr>
              <w:pStyle w:val="ARTartustawynprozporzdzenia"/>
              <w:spacing w:line="276" w:lineRule="auto"/>
              <w:ind w:firstLine="0"/>
              <w:rPr>
                <w:rFonts w:ascii="Times New Roman" w:hAnsi="Times New Roman" w:cs="Times New Roman"/>
                <w:sz w:val="22"/>
                <w:szCs w:val="22"/>
              </w:rPr>
            </w:pPr>
            <w:r w:rsidRPr="00E10DA3">
              <w:rPr>
                <w:rFonts w:ascii="Times New Roman" w:hAnsi="Times New Roman" w:cs="Times New Roman"/>
                <w:sz w:val="22"/>
                <w:szCs w:val="22"/>
              </w:rPr>
              <w:lastRenderedPageBreak/>
              <w:t>1) może pokryć niedobór środków zgromadzonych na rachunku opłaty kogeneracyjnej ze środków zgromadzonych na rachunku opłaty przejściowej, o którym mowa w ustawie z dnia 29 czerwca 2007 r. o zasadach pokrywania kosztów powstałych u wytwórców w związku z przedterminowym rozwiązaniem umów długoterminowych sprzedaży mocy i energii elektrycznej, jeżeli nie spowoduje to niewykonania zobowiązań wynikających z ustawy; wykorzystane środki z rachunku opłaty przejściowej podlegają zwrotowi w pełnej wysokości na ten rachunek;</w:t>
            </w:r>
            <w:bookmarkStart w:id="5" w:name="mip62696022"/>
            <w:bookmarkEnd w:id="5"/>
          </w:p>
          <w:p w14:paraId="456715DC" w14:textId="26488897" w:rsidR="00580FC3" w:rsidRPr="00E10DA3" w:rsidRDefault="00605FE3" w:rsidP="00605FE3">
            <w:pPr>
              <w:pStyle w:val="ARTartustawynprozporzdzenia"/>
              <w:spacing w:line="276" w:lineRule="auto"/>
              <w:ind w:firstLine="0"/>
              <w:rPr>
                <w:rFonts w:ascii="Times New Roman" w:hAnsi="Times New Roman" w:cs="Times New Roman"/>
                <w:sz w:val="22"/>
                <w:szCs w:val="22"/>
              </w:rPr>
            </w:pPr>
            <w:r w:rsidRPr="00E10DA3">
              <w:rPr>
                <w:rFonts w:ascii="Times New Roman" w:hAnsi="Times New Roman" w:cs="Times New Roman"/>
                <w:sz w:val="22"/>
                <w:szCs w:val="22"/>
              </w:rPr>
              <w:t>2) zaciąga zadłużenie na pokrycie niedoboru środków zgromadzonych na rachunku opłaty kogeneracyjnej.</w:t>
            </w:r>
          </w:p>
          <w:p w14:paraId="5FAE3717" w14:textId="2B50C593" w:rsidR="001F2F8D" w:rsidRPr="00E10DA3" w:rsidRDefault="00E6180C" w:rsidP="001F2F8D">
            <w:pPr>
              <w:pStyle w:val="ARTartustawynprozporzdzenia"/>
              <w:spacing w:before="0" w:line="276" w:lineRule="auto"/>
              <w:ind w:firstLine="0"/>
              <w:rPr>
                <w:rFonts w:ascii="Times New Roman" w:hAnsi="Times New Roman" w:cs="Times New Roman"/>
                <w:sz w:val="22"/>
                <w:szCs w:val="22"/>
              </w:rPr>
            </w:pPr>
            <w:r w:rsidRPr="00E10DA3">
              <w:rPr>
                <w:rFonts w:ascii="Times New Roman" w:hAnsi="Times New Roman" w:cs="Times New Roman"/>
                <w:sz w:val="22"/>
                <w:szCs w:val="22"/>
              </w:rPr>
              <w:t>W związku z powyższym zaproponowana stawka opłaty kogeneracyjnej nie wpłynie na skuteczność systemu wsparcia wysokosprawnej kogeneracji.</w:t>
            </w:r>
          </w:p>
          <w:p w14:paraId="15DFEB88" w14:textId="77777777" w:rsidR="00580FC3" w:rsidRPr="00E10DA3" w:rsidRDefault="00580FC3" w:rsidP="001F2F8D">
            <w:pPr>
              <w:pStyle w:val="ARTartustawynprozporzdzenia"/>
              <w:spacing w:before="0" w:line="276" w:lineRule="auto"/>
              <w:ind w:firstLine="0"/>
              <w:rPr>
                <w:rFonts w:ascii="Times New Roman" w:hAnsi="Times New Roman" w:cs="Times New Roman"/>
                <w:sz w:val="22"/>
                <w:szCs w:val="22"/>
              </w:rPr>
            </w:pPr>
          </w:p>
          <w:p w14:paraId="6EE0F354" w14:textId="2DF74BA6" w:rsidR="002B09F2" w:rsidRPr="00E10DA3" w:rsidRDefault="006647DE" w:rsidP="001F2F8D">
            <w:pPr>
              <w:pStyle w:val="ARTartustawynprozporzdzenia"/>
              <w:spacing w:before="0" w:line="276" w:lineRule="auto"/>
              <w:ind w:firstLine="0"/>
              <w:rPr>
                <w:rFonts w:ascii="Times New Roman" w:hAnsi="Times New Roman" w:cs="Times New Roman"/>
                <w:sz w:val="22"/>
                <w:szCs w:val="22"/>
              </w:rPr>
            </w:pPr>
            <w:r w:rsidRPr="00E10DA3">
              <w:rPr>
                <w:rFonts w:ascii="Times New Roman" w:hAnsi="Times New Roman" w:cs="Times New Roman"/>
                <w:sz w:val="22"/>
                <w:szCs w:val="22"/>
              </w:rPr>
              <w:t>Z uwagi na wykonawczy charakter rozporządzenia wynikający z art. 64 ust. 4 ustawy z dnia 14 grudnia 2018 r. o promowaniu energii elektrycznej z wysokosprawnej kogeneracji brak jest możliwości osiągnięcia celu projektu za pomocą innych środków</w:t>
            </w:r>
            <w:r w:rsidR="002B09F2" w:rsidRPr="00E10DA3">
              <w:rPr>
                <w:rFonts w:ascii="Times New Roman" w:hAnsi="Times New Roman" w:cs="Times New Roman"/>
                <w:sz w:val="22"/>
                <w:szCs w:val="22"/>
              </w:rPr>
              <w:t>.</w:t>
            </w:r>
          </w:p>
        </w:tc>
      </w:tr>
      <w:tr w:rsidR="003C14DE" w:rsidRPr="009157D6" w14:paraId="7EFC04F2" w14:textId="77777777" w:rsidTr="009B71B6">
        <w:trPr>
          <w:gridAfter w:val="1"/>
          <w:wAfter w:w="10" w:type="dxa"/>
          <w:trHeight w:val="307"/>
        </w:trPr>
        <w:tc>
          <w:tcPr>
            <w:tcW w:w="10937" w:type="dxa"/>
            <w:gridSpan w:val="29"/>
            <w:shd w:val="clear" w:color="auto" w:fill="99CCFF"/>
            <w:vAlign w:val="center"/>
          </w:tcPr>
          <w:p w14:paraId="2D1E5051" w14:textId="77777777" w:rsidR="003C14DE" w:rsidRPr="009157D6" w:rsidRDefault="003C14DE" w:rsidP="009B71B6">
            <w:pPr>
              <w:widowControl w:val="0"/>
              <w:numPr>
                <w:ilvl w:val="0"/>
                <w:numId w:val="1"/>
              </w:numPr>
              <w:autoSpaceDE w:val="0"/>
              <w:autoSpaceDN w:val="0"/>
              <w:adjustRightInd w:val="0"/>
              <w:spacing w:before="60" w:after="60" w:line="276" w:lineRule="auto"/>
              <w:ind w:left="318" w:hanging="284"/>
              <w:jc w:val="both"/>
              <w:rPr>
                <w:rFonts w:ascii="Times New Roman" w:hAnsi="Times New Roman" w:cs="Times New Roman"/>
                <w:b/>
                <w:color w:val="000000"/>
              </w:rPr>
            </w:pPr>
            <w:r w:rsidRPr="009157D6">
              <w:rPr>
                <w:rFonts w:ascii="Times New Roman" w:hAnsi="Times New Roman" w:cs="Times New Roman"/>
                <w:b/>
                <w:spacing w:val="-2"/>
              </w:rPr>
              <w:lastRenderedPageBreak/>
              <w:t>Jak problem został rozwiązany w innych krajach, w szczególności krajach członkowskich OECD/UE</w:t>
            </w:r>
            <w:r w:rsidRPr="009157D6">
              <w:rPr>
                <w:rFonts w:ascii="Times New Roman" w:hAnsi="Times New Roman" w:cs="Times New Roman"/>
                <w:b/>
                <w:color w:val="000000"/>
              </w:rPr>
              <w:t>?</w:t>
            </w:r>
            <w:r w:rsidRPr="009157D6">
              <w:rPr>
                <w:rFonts w:ascii="Times New Roman" w:hAnsi="Times New Roman" w:cs="Times New Roman"/>
                <w:i/>
                <w:color w:val="000000"/>
              </w:rPr>
              <w:t xml:space="preserve"> </w:t>
            </w:r>
          </w:p>
        </w:tc>
      </w:tr>
      <w:tr w:rsidR="003C14DE" w:rsidRPr="009157D6" w14:paraId="08BA417B" w14:textId="77777777" w:rsidTr="009B71B6">
        <w:trPr>
          <w:gridAfter w:val="1"/>
          <w:wAfter w:w="10" w:type="dxa"/>
          <w:trHeight w:val="142"/>
        </w:trPr>
        <w:tc>
          <w:tcPr>
            <w:tcW w:w="10937" w:type="dxa"/>
            <w:gridSpan w:val="29"/>
          </w:tcPr>
          <w:p w14:paraId="2556A9BB" w14:textId="35F191D7" w:rsidR="003C14DE" w:rsidRPr="00322F94" w:rsidRDefault="00322F94" w:rsidP="00322F94">
            <w:pPr>
              <w:spacing w:line="276" w:lineRule="auto"/>
              <w:jc w:val="both"/>
              <w:rPr>
                <w:rFonts w:ascii="Times New Roman" w:hAnsi="Times New Roman" w:cs="Times New Roman"/>
              </w:rPr>
            </w:pPr>
            <w:r w:rsidRPr="00322F94">
              <w:rPr>
                <w:rFonts w:ascii="Times New Roman" w:eastAsia="Calibri" w:hAnsi="Times New Roman" w:cs="Times New Roman"/>
                <w:color w:val="000000"/>
                <w:spacing w:val="-2"/>
              </w:rPr>
              <w:t xml:space="preserve">Konstrukcja systemów wsparcia dla energii elektrycznej z wysokosprawnej kogeneracji należy do właściwości poszczególnych państw członkowskich UE. Biorąc pod uwagę specyfikę zaprojektowanego w Polsce mechanizmu wsparcia oraz jego indywidualne cechy, proste porównanie z rozwiązaniami wprowadzonymi w innych krajach nie jest możliwe. </w:t>
            </w:r>
          </w:p>
        </w:tc>
      </w:tr>
      <w:tr w:rsidR="003C14DE" w:rsidRPr="009157D6" w14:paraId="6E7A8725" w14:textId="77777777" w:rsidTr="009B71B6">
        <w:trPr>
          <w:gridAfter w:val="1"/>
          <w:wAfter w:w="10" w:type="dxa"/>
          <w:trHeight w:val="359"/>
        </w:trPr>
        <w:tc>
          <w:tcPr>
            <w:tcW w:w="10937" w:type="dxa"/>
            <w:gridSpan w:val="29"/>
            <w:shd w:val="clear" w:color="auto" w:fill="99CCFF"/>
            <w:vAlign w:val="center"/>
          </w:tcPr>
          <w:p w14:paraId="6C6EB74A" w14:textId="77777777" w:rsidR="003C14DE" w:rsidRPr="009157D6" w:rsidRDefault="003C14DE" w:rsidP="009B71B6">
            <w:pPr>
              <w:widowControl w:val="0"/>
              <w:numPr>
                <w:ilvl w:val="0"/>
                <w:numId w:val="1"/>
              </w:numPr>
              <w:autoSpaceDE w:val="0"/>
              <w:autoSpaceDN w:val="0"/>
              <w:adjustRightInd w:val="0"/>
              <w:spacing w:before="60" w:after="60" w:line="276" w:lineRule="auto"/>
              <w:ind w:left="318" w:hanging="284"/>
              <w:jc w:val="both"/>
              <w:rPr>
                <w:rFonts w:ascii="Times New Roman" w:hAnsi="Times New Roman" w:cs="Times New Roman"/>
                <w:b/>
                <w:color w:val="000000"/>
              </w:rPr>
            </w:pPr>
            <w:r w:rsidRPr="009157D6">
              <w:rPr>
                <w:rFonts w:ascii="Times New Roman" w:hAnsi="Times New Roman" w:cs="Times New Roman"/>
                <w:b/>
                <w:color w:val="000000"/>
              </w:rPr>
              <w:t>Podmioty, na które oddziałuje projekt</w:t>
            </w:r>
          </w:p>
        </w:tc>
      </w:tr>
      <w:tr w:rsidR="003C14DE" w:rsidRPr="009157D6" w14:paraId="36F2C47F" w14:textId="77777777" w:rsidTr="009B71B6">
        <w:trPr>
          <w:gridAfter w:val="1"/>
          <w:wAfter w:w="10" w:type="dxa"/>
          <w:trHeight w:val="142"/>
        </w:trPr>
        <w:tc>
          <w:tcPr>
            <w:tcW w:w="2668" w:type="dxa"/>
            <w:gridSpan w:val="3"/>
          </w:tcPr>
          <w:p w14:paraId="6D9F7A9E" w14:textId="77777777" w:rsidR="003C14DE" w:rsidRPr="0016384D" w:rsidRDefault="003C14DE" w:rsidP="009B71B6">
            <w:pPr>
              <w:spacing w:before="40" w:line="240" w:lineRule="auto"/>
              <w:jc w:val="center"/>
              <w:rPr>
                <w:rFonts w:ascii="Times New Roman" w:hAnsi="Times New Roman" w:cs="Times New Roman"/>
                <w:color w:val="000000"/>
                <w:spacing w:val="-2"/>
              </w:rPr>
            </w:pPr>
            <w:r w:rsidRPr="0016384D">
              <w:rPr>
                <w:rFonts w:ascii="Times New Roman" w:hAnsi="Times New Roman" w:cs="Times New Roman"/>
                <w:spacing w:val="-2"/>
              </w:rPr>
              <w:t>Grupa</w:t>
            </w:r>
          </w:p>
        </w:tc>
        <w:tc>
          <w:tcPr>
            <w:tcW w:w="1796" w:type="dxa"/>
            <w:gridSpan w:val="6"/>
          </w:tcPr>
          <w:p w14:paraId="1A2FFA0F" w14:textId="77777777" w:rsidR="003C14DE" w:rsidRPr="0016384D" w:rsidRDefault="003C14DE" w:rsidP="009B71B6">
            <w:pPr>
              <w:spacing w:before="40" w:line="240" w:lineRule="auto"/>
              <w:jc w:val="center"/>
              <w:rPr>
                <w:rFonts w:ascii="Times New Roman" w:hAnsi="Times New Roman" w:cs="Times New Roman"/>
                <w:color w:val="000000"/>
                <w:spacing w:val="-2"/>
              </w:rPr>
            </w:pPr>
            <w:r w:rsidRPr="0016384D">
              <w:rPr>
                <w:rFonts w:ascii="Times New Roman" w:hAnsi="Times New Roman" w:cs="Times New Roman"/>
                <w:spacing w:val="-2"/>
              </w:rPr>
              <w:t>Wielkość</w:t>
            </w:r>
          </w:p>
        </w:tc>
        <w:tc>
          <w:tcPr>
            <w:tcW w:w="2860" w:type="dxa"/>
            <w:gridSpan w:val="12"/>
          </w:tcPr>
          <w:p w14:paraId="3D98D243" w14:textId="77777777" w:rsidR="003C14DE" w:rsidRPr="0016384D" w:rsidRDefault="003C14DE" w:rsidP="009B71B6">
            <w:pPr>
              <w:spacing w:before="40" w:line="240" w:lineRule="auto"/>
              <w:jc w:val="center"/>
              <w:rPr>
                <w:rFonts w:ascii="Times New Roman" w:hAnsi="Times New Roman" w:cs="Times New Roman"/>
                <w:color w:val="000000"/>
                <w:spacing w:val="-2"/>
              </w:rPr>
            </w:pPr>
            <w:r w:rsidRPr="0016384D">
              <w:rPr>
                <w:rFonts w:ascii="Times New Roman" w:hAnsi="Times New Roman" w:cs="Times New Roman"/>
                <w:spacing w:val="-2"/>
              </w:rPr>
              <w:t>Źródło danych</w:t>
            </w:r>
            <w:r w:rsidRPr="0016384D" w:rsidDel="00260F33">
              <w:rPr>
                <w:rFonts w:ascii="Times New Roman" w:hAnsi="Times New Roman" w:cs="Times New Roman"/>
                <w:spacing w:val="-2"/>
              </w:rPr>
              <w:t xml:space="preserve"> </w:t>
            </w:r>
          </w:p>
        </w:tc>
        <w:tc>
          <w:tcPr>
            <w:tcW w:w="3613" w:type="dxa"/>
            <w:gridSpan w:val="8"/>
          </w:tcPr>
          <w:p w14:paraId="2AC732C0" w14:textId="77777777" w:rsidR="003C14DE" w:rsidRPr="0016384D" w:rsidRDefault="003C14DE" w:rsidP="009B71B6">
            <w:pPr>
              <w:spacing w:before="40" w:line="240" w:lineRule="auto"/>
              <w:jc w:val="center"/>
              <w:rPr>
                <w:rFonts w:ascii="Times New Roman" w:hAnsi="Times New Roman" w:cs="Times New Roman"/>
                <w:color w:val="000000"/>
                <w:spacing w:val="-2"/>
              </w:rPr>
            </w:pPr>
            <w:r w:rsidRPr="0016384D">
              <w:rPr>
                <w:rFonts w:ascii="Times New Roman" w:hAnsi="Times New Roman" w:cs="Times New Roman"/>
                <w:spacing w:val="-2"/>
              </w:rPr>
              <w:t>Oddziaływanie</w:t>
            </w:r>
          </w:p>
        </w:tc>
      </w:tr>
      <w:tr w:rsidR="004E41BC" w:rsidRPr="001D3E7C" w14:paraId="2B463D5C" w14:textId="77777777" w:rsidTr="0016384D">
        <w:trPr>
          <w:gridAfter w:val="1"/>
          <w:wAfter w:w="10" w:type="dxa"/>
          <w:trHeight w:val="142"/>
        </w:trPr>
        <w:tc>
          <w:tcPr>
            <w:tcW w:w="2668" w:type="dxa"/>
            <w:gridSpan w:val="3"/>
          </w:tcPr>
          <w:p w14:paraId="1A690053" w14:textId="77777777" w:rsidR="004E41BC" w:rsidRPr="0016384D" w:rsidRDefault="004E41BC" w:rsidP="004E41BC">
            <w:pPr>
              <w:tabs>
                <w:tab w:val="left" w:pos="1560"/>
              </w:tabs>
              <w:spacing w:line="240" w:lineRule="auto"/>
              <w:rPr>
                <w:rFonts w:ascii="Times New Roman" w:hAnsi="Times New Roman"/>
              </w:rPr>
            </w:pPr>
            <w:r w:rsidRPr="0016384D">
              <w:rPr>
                <w:rFonts w:ascii="Times New Roman" w:hAnsi="Times New Roman"/>
              </w:rPr>
              <w:t>odbiorcy końcowi</w:t>
            </w:r>
          </w:p>
        </w:tc>
        <w:tc>
          <w:tcPr>
            <w:tcW w:w="1796" w:type="dxa"/>
            <w:gridSpan w:val="6"/>
          </w:tcPr>
          <w:p w14:paraId="493E2EDE" w14:textId="648F5009" w:rsidR="004E41BC" w:rsidRPr="0016384D" w:rsidRDefault="004E41BC" w:rsidP="00201267">
            <w:pPr>
              <w:spacing w:line="240" w:lineRule="auto"/>
              <w:rPr>
                <w:rFonts w:ascii="Times New Roman" w:hAnsi="Times New Roman"/>
                <w:spacing w:val="-2"/>
              </w:rPr>
            </w:pPr>
            <w:r w:rsidRPr="00B10339">
              <w:rPr>
                <w:rFonts w:ascii="Times New Roman" w:hAnsi="Times New Roman"/>
                <w:spacing w:val="-2"/>
              </w:rPr>
              <w:t>ok. 17,</w:t>
            </w:r>
            <w:r w:rsidR="00757C7B">
              <w:rPr>
                <w:rFonts w:ascii="Times New Roman" w:hAnsi="Times New Roman"/>
                <w:spacing w:val="-2"/>
              </w:rPr>
              <w:t>2</w:t>
            </w:r>
            <w:r w:rsidRPr="00B10339">
              <w:rPr>
                <w:rFonts w:ascii="Times New Roman" w:hAnsi="Times New Roman"/>
                <w:spacing w:val="-2"/>
              </w:rPr>
              <w:t xml:space="preserve"> mln, z czego 1</w:t>
            </w:r>
            <w:r w:rsidR="00757C7B">
              <w:rPr>
                <w:rFonts w:ascii="Times New Roman" w:hAnsi="Times New Roman"/>
                <w:spacing w:val="-2"/>
              </w:rPr>
              <w:t>5,8</w:t>
            </w:r>
            <w:r w:rsidRPr="00B10339">
              <w:rPr>
                <w:rFonts w:ascii="Times New Roman" w:hAnsi="Times New Roman"/>
                <w:spacing w:val="-2"/>
              </w:rPr>
              <w:t xml:space="preserve"> mln, to odbiorcy z grupy taryfowej G, w tym w odbiorcy w gospodarstwach domowych - ponad 1</w:t>
            </w:r>
            <w:r w:rsidR="00201267" w:rsidRPr="00B10339">
              <w:rPr>
                <w:rFonts w:ascii="Times New Roman" w:hAnsi="Times New Roman"/>
                <w:spacing w:val="-2"/>
              </w:rPr>
              <w:t>5</w:t>
            </w:r>
            <w:r w:rsidRPr="00B10339">
              <w:rPr>
                <w:rFonts w:ascii="Times New Roman" w:hAnsi="Times New Roman"/>
                <w:spacing w:val="-2"/>
              </w:rPr>
              <w:t>,</w:t>
            </w:r>
            <w:r w:rsidR="00757C7B">
              <w:rPr>
                <w:rFonts w:ascii="Times New Roman" w:hAnsi="Times New Roman"/>
                <w:spacing w:val="-2"/>
              </w:rPr>
              <w:t>5</w:t>
            </w:r>
            <w:r w:rsidRPr="00B10339">
              <w:rPr>
                <w:rFonts w:ascii="Times New Roman" w:hAnsi="Times New Roman"/>
                <w:spacing w:val="-2"/>
              </w:rPr>
              <w:t xml:space="preserve"> mln</w:t>
            </w:r>
          </w:p>
        </w:tc>
        <w:tc>
          <w:tcPr>
            <w:tcW w:w="2860" w:type="dxa"/>
            <w:gridSpan w:val="12"/>
          </w:tcPr>
          <w:p w14:paraId="7198D5C2" w14:textId="2DFF81AD" w:rsidR="004E41BC" w:rsidRPr="0016384D" w:rsidRDefault="004E41BC" w:rsidP="00201267">
            <w:pPr>
              <w:spacing w:line="240" w:lineRule="auto"/>
              <w:rPr>
                <w:rFonts w:ascii="Times New Roman" w:hAnsi="Times New Roman"/>
                <w:spacing w:val="-2"/>
              </w:rPr>
            </w:pPr>
            <w:r w:rsidRPr="0016384D">
              <w:rPr>
                <w:rFonts w:ascii="Times New Roman" w:hAnsi="Times New Roman"/>
                <w:spacing w:val="-2"/>
              </w:rPr>
              <w:t>Sprawozdanie z działalności Prezesa</w:t>
            </w:r>
            <w:r w:rsidR="00A87424" w:rsidRPr="0016384D">
              <w:rPr>
                <w:rFonts w:ascii="Times New Roman" w:hAnsi="Times New Roman"/>
                <w:spacing w:val="-2"/>
              </w:rPr>
              <w:t xml:space="preserve"> </w:t>
            </w:r>
            <w:r w:rsidRPr="0016384D">
              <w:rPr>
                <w:rFonts w:ascii="Times New Roman" w:hAnsi="Times New Roman"/>
                <w:spacing w:val="-2"/>
              </w:rPr>
              <w:t xml:space="preserve">Urzędu Regulacji Energetyki </w:t>
            </w:r>
            <w:r w:rsidR="00201267">
              <w:rPr>
                <w:rFonts w:ascii="Times New Roman" w:hAnsi="Times New Roman"/>
                <w:spacing w:val="-2"/>
              </w:rPr>
              <w:t xml:space="preserve">za </w:t>
            </w:r>
            <w:r w:rsidR="00D81BA5">
              <w:rPr>
                <w:rFonts w:ascii="Times New Roman" w:hAnsi="Times New Roman"/>
                <w:spacing w:val="-2"/>
              </w:rPr>
              <w:t>20</w:t>
            </w:r>
            <w:r w:rsidR="00D7543E">
              <w:rPr>
                <w:rFonts w:ascii="Times New Roman" w:hAnsi="Times New Roman"/>
                <w:spacing w:val="-2"/>
              </w:rPr>
              <w:t>2</w:t>
            </w:r>
            <w:r w:rsidR="00EA5758">
              <w:rPr>
                <w:rFonts w:ascii="Times New Roman" w:hAnsi="Times New Roman"/>
                <w:spacing w:val="-2"/>
              </w:rPr>
              <w:t>1</w:t>
            </w:r>
            <w:r w:rsidRPr="0016384D">
              <w:rPr>
                <w:rFonts w:ascii="Times New Roman" w:hAnsi="Times New Roman"/>
                <w:spacing w:val="-2"/>
              </w:rPr>
              <w:t xml:space="preserve"> r.</w:t>
            </w:r>
            <w:r w:rsidR="00144122">
              <w:rPr>
                <w:rStyle w:val="Odwoanieprzypisudolnego"/>
                <w:rFonts w:ascii="Times New Roman" w:hAnsi="Times New Roman"/>
                <w:spacing w:val="-2"/>
              </w:rPr>
              <w:footnoteReference w:id="1"/>
            </w:r>
          </w:p>
        </w:tc>
        <w:tc>
          <w:tcPr>
            <w:tcW w:w="3613" w:type="dxa"/>
            <w:gridSpan w:val="8"/>
            <w:shd w:val="clear" w:color="auto" w:fill="auto"/>
          </w:tcPr>
          <w:p w14:paraId="0F4D6EE3" w14:textId="2E594BFB" w:rsidR="004E41BC" w:rsidRPr="0016384D" w:rsidRDefault="00E74EB8" w:rsidP="004E41BC">
            <w:pPr>
              <w:spacing w:line="240" w:lineRule="auto"/>
              <w:rPr>
                <w:rFonts w:ascii="Times New Roman" w:hAnsi="Times New Roman"/>
                <w:spacing w:val="-2"/>
              </w:rPr>
            </w:pPr>
            <w:bookmarkStart w:id="6" w:name="_Hlk85701478"/>
            <w:r>
              <w:rPr>
                <w:rFonts w:ascii="Times New Roman" w:hAnsi="Times New Roman"/>
                <w:spacing w:val="-2"/>
              </w:rPr>
              <w:t>S</w:t>
            </w:r>
            <w:r w:rsidR="004E41BC" w:rsidRPr="00E74EB8">
              <w:rPr>
                <w:rFonts w:ascii="Times New Roman" w:hAnsi="Times New Roman"/>
                <w:spacing w:val="-2"/>
              </w:rPr>
              <w:t>topień obciążenia odbiorcy końcowego z tytułu poboru opłaty kogeneracyjnej</w:t>
            </w:r>
            <w:r w:rsidR="00E6180C">
              <w:rPr>
                <w:rFonts w:ascii="Times New Roman" w:hAnsi="Times New Roman"/>
                <w:spacing w:val="-2"/>
              </w:rPr>
              <w:t xml:space="preserve"> </w:t>
            </w:r>
            <w:r w:rsidR="00D7543E">
              <w:rPr>
                <w:rFonts w:ascii="Times New Roman" w:hAnsi="Times New Roman"/>
                <w:spacing w:val="-2"/>
              </w:rPr>
              <w:t>z</w:t>
            </w:r>
            <w:r w:rsidR="00E6180C">
              <w:rPr>
                <w:rFonts w:ascii="Times New Roman" w:hAnsi="Times New Roman"/>
                <w:spacing w:val="-2"/>
              </w:rPr>
              <w:t>mieni - staw</w:t>
            </w:r>
            <w:r w:rsidR="0016384D" w:rsidRPr="00E74EB8">
              <w:rPr>
                <w:rFonts w:ascii="Times New Roman" w:hAnsi="Times New Roman"/>
                <w:spacing w:val="-2"/>
              </w:rPr>
              <w:t>ka</w:t>
            </w:r>
            <w:r>
              <w:rPr>
                <w:rFonts w:ascii="Times New Roman" w:hAnsi="Times New Roman"/>
                <w:spacing w:val="-2"/>
              </w:rPr>
              <w:t xml:space="preserve"> </w:t>
            </w:r>
            <w:r w:rsidR="00E6180C">
              <w:rPr>
                <w:rFonts w:ascii="Times New Roman" w:hAnsi="Times New Roman"/>
                <w:spacing w:val="-2"/>
              </w:rPr>
              <w:t xml:space="preserve">opłaty kogeneracyjnej zostanie </w:t>
            </w:r>
            <w:r w:rsidR="00893C8D">
              <w:rPr>
                <w:rFonts w:ascii="Times New Roman" w:hAnsi="Times New Roman"/>
                <w:spacing w:val="-2"/>
              </w:rPr>
              <w:t>zwiększona do</w:t>
            </w:r>
            <w:r w:rsidR="00E6180C">
              <w:rPr>
                <w:rFonts w:ascii="Times New Roman" w:hAnsi="Times New Roman"/>
                <w:spacing w:val="-2"/>
              </w:rPr>
              <w:t xml:space="preserve"> </w:t>
            </w:r>
            <w:r w:rsidR="00D7543E">
              <w:rPr>
                <w:rFonts w:ascii="Times New Roman" w:hAnsi="Times New Roman"/>
                <w:spacing w:val="-2"/>
              </w:rPr>
              <w:t>4,</w:t>
            </w:r>
            <w:r w:rsidR="00893C8D">
              <w:rPr>
                <w:rFonts w:ascii="Times New Roman" w:hAnsi="Times New Roman"/>
                <w:spacing w:val="-2"/>
              </w:rPr>
              <w:t>9</w:t>
            </w:r>
            <w:r w:rsidR="00D7543E">
              <w:rPr>
                <w:rFonts w:ascii="Times New Roman" w:hAnsi="Times New Roman"/>
                <w:spacing w:val="-2"/>
              </w:rPr>
              <w:t>6 zł/MWh. Oznacza</w:t>
            </w:r>
            <w:r w:rsidR="007D0A98">
              <w:rPr>
                <w:rFonts w:ascii="Times New Roman" w:hAnsi="Times New Roman"/>
                <w:spacing w:val="-2"/>
              </w:rPr>
              <w:t>ć</w:t>
            </w:r>
            <w:r w:rsidR="00D7543E">
              <w:rPr>
                <w:rFonts w:ascii="Times New Roman" w:hAnsi="Times New Roman"/>
                <w:spacing w:val="-2"/>
              </w:rPr>
              <w:t xml:space="preserve"> to</w:t>
            </w:r>
            <w:r w:rsidR="007D0A98">
              <w:rPr>
                <w:rFonts w:ascii="Times New Roman" w:hAnsi="Times New Roman"/>
                <w:spacing w:val="-2"/>
              </w:rPr>
              <w:t xml:space="preserve"> </w:t>
            </w:r>
            <w:r w:rsidR="007D0A98" w:rsidRPr="00D7543E">
              <w:rPr>
                <w:rFonts w:ascii="Times New Roman" w:hAnsi="Times New Roman" w:cs="Times New Roman"/>
              </w:rPr>
              <w:t>będzie</w:t>
            </w:r>
            <w:r w:rsidR="007D0A98">
              <w:rPr>
                <w:rFonts w:ascii="Times New Roman" w:hAnsi="Times New Roman" w:cs="Times New Roman"/>
              </w:rPr>
              <w:t xml:space="preserve"> średnie</w:t>
            </w:r>
            <w:r w:rsidR="007D0A98" w:rsidRPr="00D7543E">
              <w:rPr>
                <w:rFonts w:ascii="Times New Roman" w:hAnsi="Times New Roman" w:cs="Times New Roman"/>
              </w:rPr>
              <w:t xml:space="preserve"> obciążenie w wysokości ok. </w:t>
            </w:r>
            <w:r w:rsidR="007D0A98">
              <w:rPr>
                <w:rFonts w:ascii="Times New Roman" w:hAnsi="Times New Roman" w:cs="Times New Roman"/>
              </w:rPr>
              <w:t>1</w:t>
            </w:r>
            <w:r w:rsidR="00893C8D">
              <w:rPr>
                <w:rFonts w:ascii="Times New Roman" w:hAnsi="Times New Roman" w:cs="Times New Roman"/>
              </w:rPr>
              <w:t>2,4</w:t>
            </w:r>
            <w:r w:rsidR="00E6180C">
              <w:rPr>
                <w:rFonts w:ascii="Times New Roman" w:hAnsi="Times New Roman" w:cs="Times New Roman"/>
              </w:rPr>
              <w:t xml:space="preserve"> </w:t>
            </w:r>
            <w:r w:rsidR="007D0A98" w:rsidRPr="00D7543E">
              <w:rPr>
                <w:rFonts w:ascii="Times New Roman" w:hAnsi="Times New Roman" w:cs="Times New Roman"/>
              </w:rPr>
              <w:t>zł/rok/gospodarstwo domowe</w:t>
            </w:r>
            <w:bookmarkEnd w:id="6"/>
            <w:r w:rsidR="007D0A98" w:rsidRPr="00D7543E">
              <w:rPr>
                <w:rFonts w:ascii="Times New Roman" w:hAnsi="Times New Roman" w:cs="Times New Roman"/>
              </w:rPr>
              <w:t>.</w:t>
            </w:r>
            <w:r w:rsidR="00893C8D">
              <w:rPr>
                <w:rFonts w:ascii="Times New Roman" w:hAnsi="Times New Roman" w:cs="Times New Roman"/>
              </w:rPr>
              <w:t xml:space="preserve"> Wzrost wysokości stawki opłaty kogeneracyjnej zostanie skompensowany </w:t>
            </w:r>
            <w:r w:rsidR="004135D7">
              <w:rPr>
                <w:rFonts w:ascii="Times New Roman" w:hAnsi="Times New Roman" w:cs="Times New Roman"/>
              </w:rPr>
              <w:t>zmianą wysokości stawki</w:t>
            </w:r>
            <w:r w:rsidR="00893C8D">
              <w:rPr>
                <w:rFonts w:ascii="Times New Roman" w:hAnsi="Times New Roman" w:cs="Times New Roman"/>
              </w:rPr>
              <w:t xml:space="preserve"> opłaty OZE.</w:t>
            </w:r>
          </w:p>
          <w:p w14:paraId="28A3B43C" w14:textId="77777777" w:rsidR="004E41BC" w:rsidRPr="0016384D" w:rsidRDefault="004E41BC" w:rsidP="004E41BC">
            <w:pPr>
              <w:spacing w:line="240" w:lineRule="auto"/>
              <w:rPr>
                <w:rFonts w:ascii="Times New Roman" w:hAnsi="Times New Roman"/>
                <w:spacing w:val="-2"/>
              </w:rPr>
            </w:pPr>
          </w:p>
        </w:tc>
      </w:tr>
      <w:tr w:rsidR="003C14DE" w:rsidRPr="009157D6" w14:paraId="3FF13A57" w14:textId="77777777" w:rsidTr="009B71B6">
        <w:trPr>
          <w:gridAfter w:val="1"/>
          <w:wAfter w:w="10" w:type="dxa"/>
          <w:trHeight w:val="302"/>
        </w:trPr>
        <w:tc>
          <w:tcPr>
            <w:tcW w:w="10937" w:type="dxa"/>
            <w:gridSpan w:val="29"/>
            <w:shd w:val="clear" w:color="auto" w:fill="99CCFF"/>
            <w:vAlign w:val="center"/>
          </w:tcPr>
          <w:p w14:paraId="4C4F2546" w14:textId="77777777" w:rsidR="002672C9" w:rsidRDefault="002672C9" w:rsidP="00A6010D">
            <w:pPr>
              <w:widowControl w:val="0"/>
              <w:autoSpaceDE w:val="0"/>
              <w:autoSpaceDN w:val="0"/>
              <w:adjustRightInd w:val="0"/>
              <w:spacing w:before="60" w:after="60" w:line="276" w:lineRule="auto"/>
              <w:ind w:left="360"/>
              <w:jc w:val="both"/>
              <w:rPr>
                <w:rFonts w:ascii="Times New Roman" w:hAnsi="Times New Roman" w:cs="Times New Roman"/>
                <w:b/>
                <w:color w:val="000000"/>
              </w:rPr>
            </w:pPr>
          </w:p>
          <w:p w14:paraId="40ACCAEA" w14:textId="5FE76D0B" w:rsidR="003C14DE" w:rsidRPr="009157D6" w:rsidRDefault="003C14DE" w:rsidP="002672C9">
            <w:pPr>
              <w:widowControl w:val="0"/>
              <w:numPr>
                <w:ilvl w:val="0"/>
                <w:numId w:val="1"/>
              </w:numPr>
              <w:autoSpaceDE w:val="0"/>
              <w:autoSpaceDN w:val="0"/>
              <w:adjustRightInd w:val="0"/>
              <w:spacing w:before="60" w:after="60" w:line="276" w:lineRule="auto"/>
              <w:ind w:left="318" w:hanging="284"/>
              <w:jc w:val="both"/>
              <w:rPr>
                <w:rFonts w:ascii="Times New Roman" w:hAnsi="Times New Roman" w:cs="Times New Roman"/>
                <w:b/>
                <w:color w:val="000000"/>
              </w:rPr>
            </w:pPr>
            <w:r w:rsidRPr="009157D6">
              <w:rPr>
                <w:rFonts w:ascii="Times New Roman" w:hAnsi="Times New Roman" w:cs="Times New Roman"/>
                <w:b/>
                <w:color w:val="000000"/>
              </w:rPr>
              <w:t>Informacje na temat zakresu, czasu trwania i podsumowanie wyników konsultacji</w:t>
            </w:r>
          </w:p>
        </w:tc>
      </w:tr>
      <w:tr w:rsidR="003C14DE" w:rsidRPr="009157D6" w14:paraId="795A7DD4" w14:textId="77777777" w:rsidTr="00185134">
        <w:trPr>
          <w:gridAfter w:val="1"/>
          <w:wAfter w:w="10" w:type="dxa"/>
          <w:trHeight w:val="5662"/>
        </w:trPr>
        <w:tc>
          <w:tcPr>
            <w:tcW w:w="10937" w:type="dxa"/>
            <w:gridSpan w:val="29"/>
            <w:shd w:val="clear" w:color="auto" w:fill="FFFFFF"/>
          </w:tcPr>
          <w:p w14:paraId="33690964" w14:textId="4A338621" w:rsidR="007922ED" w:rsidRDefault="007922ED" w:rsidP="002672C9">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922ED">
              <w:rPr>
                <w:rFonts w:ascii="Times New Roman" w:eastAsia="Times New Roman" w:hAnsi="Times New Roman" w:cs="Times New Roman"/>
                <w:color w:val="000000"/>
                <w:lang w:eastAsia="pl-PL"/>
              </w:rPr>
              <w:lastRenderedPageBreak/>
              <w:t xml:space="preserve">Projekt nie był przedmiotem </w:t>
            </w:r>
            <w:proofErr w:type="spellStart"/>
            <w:r w:rsidRPr="007922ED">
              <w:rPr>
                <w:rFonts w:ascii="Times New Roman" w:eastAsia="Times New Roman" w:hAnsi="Times New Roman" w:cs="Times New Roman"/>
                <w:color w:val="000000"/>
                <w:lang w:eastAsia="pl-PL"/>
              </w:rPr>
              <w:t>pre</w:t>
            </w:r>
            <w:proofErr w:type="spellEnd"/>
            <w:r w:rsidRPr="007922ED">
              <w:rPr>
                <w:rFonts w:ascii="Times New Roman" w:eastAsia="Times New Roman" w:hAnsi="Times New Roman" w:cs="Times New Roman"/>
                <w:color w:val="000000"/>
                <w:lang w:eastAsia="pl-PL"/>
              </w:rPr>
              <w:t xml:space="preserve">-konsultacji. </w:t>
            </w:r>
          </w:p>
          <w:p w14:paraId="35AD7C27" w14:textId="77777777" w:rsidR="002672C9" w:rsidRPr="007922ED" w:rsidRDefault="002672C9">
            <w:pPr>
              <w:autoSpaceDE w:val="0"/>
              <w:autoSpaceDN w:val="0"/>
              <w:adjustRightInd w:val="0"/>
              <w:spacing w:after="0" w:line="240" w:lineRule="auto"/>
              <w:jc w:val="both"/>
              <w:rPr>
                <w:rFonts w:ascii="Times New Roman" w:eastAsia="Times New Roman" w:hAnsi="Times New Roman" w:cs="Times New Roman"/>
                <w:color w:val="000000"/>
                <w:lang w:eastAsia="pl-PL"/>
              </w:rPr>
            </w:pPr>
          </w:p>
          <w:p w14:paraId="5F9A0AAE" w14:textId="5B80A7AD" w:rsidR="007922ED" w:rsidRDefault="007922E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922ED">
              <w:rPr>
                <w:rFonts w:ascii="Times New Roman" w:eastAsia="Times New Roman" w:hAnsi="Times New Roman" w:cs="Times New Roman"/>
                <w:color w:val="000000"/>
                <w:lang w:eastAsia="pl-PL"/>
              </w:rPr>
              <w:t>Projekt zostanie udostępniony w Biuletynie Informacji Publicznej, na stronie podmiotowej Rządowego Centrum Legislacji, w serwisie Rządowy Proces Legislacyjny.</w:t>
            </w:r>
          </w:p>
          <w:p w14:paraId="71AD8AEF" w14:textId="77777777" w:rsidR="002672C9" w:rsidRPr="007922ED" w:rsidRDefault="002672C9">
            <w:pPr>
              <w:autoSpaceDE w:val="0"/>
              <w:autoSpaceDN w:val="0"/>
              <w:adjustRightInd w:val="0"/>
              <w:spacing w:after="0" w:line="240" w:lineRule="auto"/>
              <w:jc w:val="both"/>
              <w:rPr>
                <w:rFonts w:ascii="Times New Roman" w:eastAsia="Times New Roman" w:hAnsi="Times New Roman" w:cs="Times New Roman"/>
                <w:color w:val="000000"/>
                <w:lang w:eastAsia="pl-PL"/>
              </w:rPr>
            </w:pPr>
          </w:p>
          <w:p w14:paraId="59B64F24" w14:textId="67BB6F88" w:rsidR="003F065B" w:rsidRDefault="007922ED" w:rsidP="003F065B">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7922ED">
              <w:rPr>
                <w:rFonts w:ascii="Times New Roman" w:eastAsia="Times New Roman" w:hAnsi="Times New Roman" w:cs="Times New Roman"/>
                <w:color w:val="000000"/>
                <w:lang w:eastAsia="pl-PL"/>
              </w:rPr>
              <w:t xml:space="preserve">Projekt </w:t>
            </w:r>
            <w:r w:rsidR="006724E3">
              <w:rPr>
                <w:rFonts w:ascii="Times New Roman" w:eastAsia="Times New Roman" w:hAnsi="Times New Roman" w:cs="Times New Roman"/>
                <w:color w:val="000000"/>
                <w:lang w:eastAsia="pl-PL"/>
              </w:rPr>
              <w:t xml:space="preserve">w ramach </w:t>
            </w:r>
            <w:r w:rsidRPr="007922ED">
              <w:rPr>
                <w:rFonts w:ascii="Times New Roman" w:eastAsia="Times New Roman" w:hAnsi="Times New Roman" w:cs="Times New Roman"/>
                <w:color w:val="000000"/>
                <w:lang w:eastAsia="pl-PL"/>
              </w:rPr>
              <w:t xml:space="preserve">konsultacji </w:t>
            </w:r>
            <w:r w:rsidR="006724E3">
              <w:rPr>
                <w:rFonts w:ascii="Times New Roman" w:eastAsia="Times New Roman" w:hAnsi="Times New Roman" w:cs="Times New Roman"/>
                <w:color w:val="000000"/>
                <w:lang w:eastAsia="pl-PL"/>
              </w:rPr>
              <w:t xml:space="preserve">publicznych </w:t>
            </w:r>
            <w:r w:rsidRPr="007922ED">
              <w:rPr>
                <w:rFonts w:ascii="Times New Roman" w:eastAsia="Times New Roman" w:hAnsi="Times New Roman" w:cs="Times New Roman"/>
                <w:color w:val="000000"/>
                <w:lang w:eastAsia="pl-PL"/>
              </w:rPr>
              <w:t xml:space="preserve">(7 dni) </w:t>
            </w:r>
            <w:r w:rsidR="006724E3">
              <w:rPr>
                <w:rFonts w:ascii="Times New Roman" w:eastAsia="Times New Roman" w:hAnsi="Times New Roman" w:cs="Times New Roman"/>
                <w:color w:val="000000"/>
                <w:lang w:eastAsia="pl-PL"/>
              </w:rPr>
              <w:t>otrzymają</w:t>
            </w:r>
            <w:r w:rsidRPr="007922ED">
              <w:rPr>
                <w:rFonts w:ascii="Times New Roman" w:eastAsia="Times New Roman" w:hAnsi="Times New Roman" w:cs="Times New Roman"/>
                <w:color w:val="000000"/>
                <w:lang w:eastAsia="pl-PL"/>
              </w:rPr>
              <w:t>:</w:t>
            </w:r>
          </w:p>
          <w:p w14:paraId="5F4B739C" w14:textId="51A3350C" w:rsidR="00C87808" w:rsidRPr="006724E3" w:rsidRDefault="00C87808" w:rsidP="006724E3">
            <w:pPr>
              <w:pStyle w:val="Akapitzlist"/>
              <w:numPr>
                <w:ilvl w:val="0"/>
                <w:numId w:val="5"/>
              </w:numPr>
              <w:autoSpaceDE w:val="0"/>
              <w:autoSpaceDN w:val="0"/>
              <w:adjustRightInd w:val="0"/>
              <w:jc w:val="both"/>
              <w:rPr>
                <w:color w:val="000000"/>
              </w:rPr>
            </w:pPr>
            <w:r w:rsidRPr="006724E3">
              <w:rPr>
                <w:color w:val="000000"/>
              </w:rPr>
              <w:t xml:space="preserve">Izba Gospodarcza Ciepłownictwo Polskie, bi.warszawa@igcp.org.pl; </w:t>
            </w:r>
          </w:p>
          <w:p w14:paraId="6C9F1DE8" w14:textId="6C2E5045" w:rsidR="00C87808" w:rsidRPr="006724E3" w:rsidRDefault="00C87808" w:rsidP="006724E3">
            <w:pPr>
              <w:pStyle w:val="Akapitzlist"/>
              <w:numPr>
                <w:ilvl w:val="0"/>
                <w:numId w:val="5"/>
              </w:numPr>
              <w:autoSpaceDE w:val="0"/>
              <w:autoSpaceDN w:val="0"/>
              <w:adjustRightInd w:val="0"/>
              <w:jc w:val="both"/>
              <w:rPr>
                <w:color w:val="000000"/>
              </w:rPr>
            </w:pPr>
            <w:r w:rsidRPr="006724E3">
              <w:rPr>
                <w:color w:val="000000"/>
              </w:rPr>
              <w:t xml:space="preserve">Polskie Towarzystwo Elektrociepłowni Zawodowych, sekretariat@ptez.com.pl; </w:t>
            </w:r>
          </w:p>
          <w:p w14:paraId="2F4B3F40" w14:textId="5F980AFF" w:rsidR="00C87808" w:rsidRPr="006724E3" w:rsidRDefault="00C87808" w:rsidP="006724E3">
            <w:pPr>
              <w:pStyle w:val="Akapitzlist"/>
              <w:numPr>
                <w:ilvl w:val="0"/>
                <w:numId w:val="5"/>
              </w:numPr>
              <w:autoSpaceDE w:val="0"/>
              <w:autoSpaceDN w:val="0"/>
              <w:adjustRightInd w:val="0"/>
              <w:jc w:val="both"/>
              <w:rPr>
                <w:color w:val="000000"/>
              </w:rPr>
            </w:pPr>
            <w:r w:rsidRPr="006724E3">
              <w:rPr>
                <w:color w:val="000000"/>
              </w:rPr>
              <w:t xml:space="preserve">Izba Energetyki Przemysłowej i Odbiorców Energii, kontakt@iep.org.pl; </w:t>
            </w:r>
          </w:p>
          <w:p w14:paraId="74C6385D" w14:textId="0CD6841D" w:rsidR="00C87808" w:rsidRPr="006724E3" w:rsidRDefault="00C87808" w:rsidP="006724E3">
            <w:pPr>
              <w:pStyle w:val="Akapitzlist"/>
              <w:numPr>
                <w:ilvl w:val="0"/>
                <w:numId w:val="5"/>
              </w:numPr>
              <w:autoSpaceDE w:val="0"/>
              <w:autoSpaceDN w:val="0"/>
              <w:adjustRightInd w:val="0"/>
              <w:jc w:val="both"/>
              <w:rPr>
                <w:color w:val="000000"/>
              </w:rPr>
            </w:pPr>
            <w:r w:rsidRPr="006724E3">
              <w:rPr>
                <w:color w:val="000000"/>
              </w:rPr>
              <w:t>Forum Odbiorców Energii Elektrycznej i Gazu, forum@iep.org.pl;</w:t>
            </w:r>
          </w:p>
          <w:p w14:paraId="736D37E0" w14:textId="281C4B59" w:rsidR="00C87808" w:rsidRPr="006724E3" w:rsidRDefault="00C87808" w:rsidP="006724E3">
            <w:pPr>
              <w:pStyle w:val="Akapitzlist"/>
              <w:numPr>
                <w:ilvl w:val="0"/>
                <w:numId w:val="5"/>
              </w:numPr>
              <w:autoSpaceDE w:val="0"/>
              <w:autoSpaceDN w:val="0"/>
              <w:adjustRightInd w:val="0"/>
              <w:jc w:val="both"/>
              <w:rPr>
                <w:color w:val="000000"/>
              </w:rPr>
            </w:pPr>
            <w:r w:rsidRPr="006724E3">
              <w:rPr>
                <w:color w:val="000000"/>
              </w:rPr>
              <w:t xml:space="preserve">Izba Gospodarcza Gazownictwa, office.kst@igg.pl; </w:t>
            </w:r>
          </w:p>
          <w:p w14:paraId="40058263" w14:textId="75328621" w:rsidR="00C87808" w:rsidRPr="006724E3" w:rsidRDefault="00C87808" w:rsidP="006724E3">
            <w:pPr>
              <w:pStyle w:val="Akapitzlist"/>
              <w:numPr>
                <w:ilvl w:val="0"/>
                <w:numId w:val="5"/>
              </w:numPr>
              <w:autoSpaceDE w:val="0"/>
              <w:autoSpaceDN w:val="0"/>
              <w:adjustRightInd w:val="0"/>
              <w:jc w:val="both"/>
              <w:rPr>
                <w:color w:val="000000"/>
              </w:rPr>
            </w:pPr>
            <w:r w:rsidRPr="006724E3">
              <w:rPr>
                <w:color w:val="000000"/>
              </w:rPr>
              <w:t xml:space="preserve">Towarzystwo Gospodarcze Polskie Elektrownie, biuro@tgpe.pl; </w:t>
            </w:r>
          </w:p>
          <w:p w14:paraId="2E67ED1A" w14:textId="34B4782A" w:rsidR="00C87808" w:rsidRPr="006724E3" w:rsidRDefault="00C87808" w:rsidP="006724E3">
            <w:pPr>
              <w:pStyle w:val="Akapitzlist"/>
              <w:numPr>
                <w:ilvl w:val="0"/>
                <w:numId w:val="5"/>
              </w:numPr>
              <w:autoSpaceDE w:val="0"/>
              <w:autoSpaceDN w:val="0"/>
              <w:adjustRightInd w:val="0"/>
              <w:jc w:val="both"/>
              <w:rPr>
                <w:color w:val="000000"/>
              </w:rPr>
            </w:pPr>
            <w:r w:rsidRPr="006724E3">
              <w:rPr>
                <w:color w:val="000000"/>
              </w:rPr>
              <w:t xml:space="preserve">Polski Komitet Energii Elektrycznej, pkee@pkee.pl; </w:t>
            </w:r>
          </w:p>
          <w:p w14:paraId="63FFCFD1" w14:textId="746193F7" w:rsidR="00C87808" w:rsidRPr="006724E3" w:rsidRDefault="00C87808" w:rsidP="006724E3">
            <w:pPr>
              <w:pStyle w:val="Akapitzlist"/>
              <w:numPr>
                <w:ilvl w:val="0"/>
                <w:numId w:val="5"/>
              </w:numPr>
              <w:autoSpaceDE w:val="0"/>
              <w:autoSpaceDN w:val="0"/>
              <w:adjustRightInd w:val="0"/>
              <w:jc w:val="both"/>
              <w:rPr>
                <w:color w:val="000000"/>
              </w:rPr>
            </w:pPr>
            <w:r w:rsidRPr="006724E3">
              <w:rPr>
                <w:color w:val="000000"/>
              </w:rPr>
              <w:t xml:space="preserve">Izba Gospodarcza Energetyki i Ochrony Środowiska, sekretariat@igeos.pl; </w:t>
            </w:r>
          </w:p>
          <w:p w14:paraId="69D5FC70" w14:textId="33A11B2A" w:rsidR="003F065B" w:rsidRPr="006724E3" w:rsidRDefault="00C87808" w:rsidP="006724E3">
            <w:pPr>
              <w:pStyle w:val="Akapitzlist"/>
              <w:numPr>
                <w:ilvl w:val="0"/>
                <w:numId w:val="5"/>
              </w:numPr>
              <w:autoSpaceDE w:val="0"/>
              <w:autoSpaceDN w:val="0"/>
              <w:adjustRightInd w:val="0"/>
              <w:jc w:val="both"/>
              <w:rPr>
                <w:color w:val="000000"/>
              </w:rPr>
            </w:pPr>
            <w:r w:rsidRPr="006724E3">
              <w:rPr>
                <w:color w:val="000000"/>
              </w:rPr>
              <w:t>Krajo</w:t>
            </w:r>
            <w:r w:rsidR="00926411" w:rsidRPr="006724E3">
              <w:rPr>
                <w:color w:val="000000"/>
              </w:rPr>
              <w:t>wa Izba Gospodarcza, kig@kig.pl.</w:t>
            </w:r>
          </w:p>
          <w:p w14:paraId="0374A0B2" w14:textId="77777777" w:rsidR="007922ED" w:rsidRPr="007922ED" w:rsidRDefault="007922ED">
            <w:pPr>
              <w:autoSpaceDE w:val="0"/>
              <w:autoSpaceDN w:val="0"/>
              <w:adjustRightInd w:val="0"/>
              <w:spacing w:after="0" w:line="240" w:lineRule="auto"/>
              <w:jc w:val="both"/>
              <w:rPr>
                <w:rFonts w:ascii="Times New Roman" w:eastAsia="Times New Roman" w:hAnsi="Times New Roman" w:cs="Times New Roman"/>
                <w:color w:val="000000"/>
                <w:lang w:eastAsia="pl-PL"/>
              </w:rPr>
            </w:pPr>
          </w:p>
          <w:p w14:paraId="2C456ED5" w14:textId="0E272DDF" w:rsidR="007922ED" w:rsidRDefault="007922ED">
            <w:pPr>
              <w:spacing w:after="0" w:line="240" w:lineRule="auto"/>
              <w:jc w:val="both"/>
              <w:rPr>
                <w:rFonts w:ascii="Times New Roman" w:eastAsia="Times New Roman" w:hAnsi="Times New Roman" w:cs="Times New Roman"/>
                <w:spacing w:val="-2"/>
                <w:lang w:eastAsia="pl-PL"/>
              </w:rPr>
            </w:pPr>
            <w:r w:rsidRPr="007922ED">
              <w:rPr>
                <w:rFonts w:ascii="Times New Roman" w:eastAsia="Times New Roman" w:hAnsi="Times New Roman" w:cs="Times New Roman"/>
                <w:spacing w:val="-2"/>
                <w:lang w:eastAsia="pl-PL"/>
              </w:rPr>
              <w:t>Projekt zostanie przekazany do zaopiniowania (7 dni) Prezesowi Urzędu Regulacji Energetyki.</w:t>
            </w:r>
          </w:p>
          <w:p w14:paraId="10177372" w14:textId="77777777" w:rsidR="00926411" w:rsidRDefault="00926411">
            <w:pPr>
              <w:spacing w:after="0" w:line="240" w:lineRule="auto"/>
              <w:jc w:val="both"/>
              <w:rPr>
                <w:rFonts w:ascii="Times New Roman" w:eastAsia="Times New Roman" w:hAnsi="Times New Roman" w:cs="Times New Roman"/>
                <w:spacing w:val="-2"/>
                <w:lang w:eastAsia="pl-PL"/>
              </w:rPr>
            </w:pPr>
          </w:p>
          <w:p w14:paraId="1A7AE41C" w14:textId="1B7FACAC" w:rsidR="00A616B7" w:rsidRPr="007922ED" w:rsidRDefault="00A616B7">
            <w:pPr>
              <w:spacing w:after="0" w:line="240" w:lineRule="auto"/>
              <w:jc w:val="both"/>
              <w:rPr>
                <w:rFonts w:ascii="Times New Roman" w:eastAsia="Times New Roman" w:hAnsi="Times New Roman" w:cs="Times New Roman"/>
                <w:spacing w:val="-2"/>
                <w:lang w:eastAsia="pl-PL"/>
              </w:rPr>
            </w:pPr>
            <w:r w:rsidRPr="00CE1EC6">
              <w:rPr>
                <w:rFonts w:ascii="Times New Roman" w:eastAsia="Times New Roman" w:hAnsi="Times New Roman" w:cs="Times New Roman"/>
                <w:spacing w:val="-2"/>
                <w:lang w:eastAsia="pl-PL"/>
              </w:rPr>
              <w:t xml:space="preserve">Skrócono termin </w:t>
            </w:r>
            <w:r>
              <w:rPr>
                <w:rFonts w:ascii="Times New Roman" w:eastAsia="Times New Roman" w:hAnsi="Times New Roman" w:cs="Times New Roman"/>
                <w:spacing w:val="-2"/>
                <w:lang w:eastAsia="pl-PL"/>
              </w:rPr>
              <w:t xml:space="preserve">konsultacji i opiniowania </w:t>
            </w:r>
            <w:r w:rsidRPr="00CE1EC6">
              <w:rPr>
                <w:rFonts w:ascii="Times New Roman" w:eastAsia="Times New Roman" w:hAnsi="Times New Roman" w:cs="Times New Roman"/>
                <w:spacing w:val="-2"/>
                <w:lang w:eastAsia="pl-PL"/>
              </w:rPr>
              <w:t>do 7 dni</w:t>
            </w:r>
            <w:r>
              <w:rPr>
                <w:rFonts w:ascii="Times New Roman" w:eastAsia="Times New Roman" w:hAnsi="Times New Roman" w:cs="Times New Roman"/>
                <w:spacing w:val="-2"/>
                <w:lang w:eastAsia="pl-PL"/>
              </w:rPr>
              <w:t>,</w:t>
            </w:r>
            <w:r w:rsidRPr="00CE1EC6">
              <w:rPr>
                <w:rFonts w:ascii="Times New Roman" w:eastAsia="Times New Roman" w:hAnsi="Times New Roman" w:cs="Times New Roman"/>
                <w:spacing w:val="-2"/>
                <w:lang w:eastAsia="pl-PL"/>
              </w:rPr>
              <w:t xml:space="preserve"> z uwagi na konieczność wydania rozporządzenia</w:t>
            </w:r>
            <w:r w:rsidR="008B1A32">
              <w:rPr>
                <w:rFonts w:ascii="Times New Roman" w:eastAsia="Times New Roman" w:hAnsi="Times New Roman" w:cs="Times New Roman"/>
                <w:spacing w:val="-2"/>
                <w:lang w:eastAsia="pl-PL"/>
              </w:rPr>
              <w:t xml:space="preserve"> zgodnie z art. 64 ust. 4 ustawy</w:t>
            </w:r>
            <w:r w:rsidR="00926411">
              <w:rPr>
                <w:rFonts w:ascii="Times New Roman" w:eastAsia="Times New Roman" w:hAnsi="Times New Roman" w:cs="Times New Roman"/>
                <w:spacing w:val="-2"/>
                <w:lang w:eastAsia="pl-PL"/>
              </w:rPr>
              <w:t xml:space="preserve"> do</w:t>
            </w:r>
            <w:r w:rsidR="008B1A32">
              <w:rPr>
                <w:rFonts w:ascii="Times New Roman" w:eastAsia="Times New Roman" w:hAnsi="Times New Roman" w:cs="Times New Roman"/>
                <w:spacing w:val="-2"/>
                <w:lang w:eastAsia="pl-PL"/>
              </w:rPr>
              <w:t xml:space="preserve"> dnia 30 listopada każdego roku poprzedzającego stosowanie stawki opłaty kogeneracyjnej</w:t>
            </w:r>
            <w:r w:rsidR="00926411">
              <w:rPr>
                <w:rFonts w:ascii="Times New Roman" w:eastAsia="Times New Roman" w:hAnsi="Times New Roman" w:cs="Times New Roman"/>
                <w:spacing w:val="-2"/>
                <w:lang w:eastAsia="pl-PL"/>
              </w:rPr>
              <w:t>.</w:t>
            </w:r>
          </w:p>
          <w:p w14:paraId="7EB9B49F" w14:textId="77777777" w:rsidR="007922ED" w:rsidRPr="007922ED" w:rsidRDefault="007922ED">
            <w:pPr>
              <w:spacing w:after="0" w:line="240" w:lineRule="auto"/>
              <w:jc w:val="both"/>
              <w:rPr>
                <w:rFonts w:ascii="Times New Roman" w:eastAsia="Times New Roman" w:hAnsi="Times New Roman" w:cs="Times New Roman"/>
                <w:spacing w:val="-2"/>
                <w:lang w:eastAsia="pl-PL"/>
              </w:rPr>
            </w:pPr>
          </w:p>
          <w:p w14:paraId="35533066" w14:textId="77777777" w:rsidR="007922ED" w:rsidRPr="007922ED" w:rsidRDefault="007922ED">
            <w:pPr>
              <w:spacing w:after="0" w:line="240" w:lineRule="auto"/>
              <w:jc w:val="both"/>
              <w:rPr>
                <w:rFonts w:ascii="Times New Roman" w:eastAsia="Times New Roman" w:hAnsi="Times New Roman" w:cs="Times New Roman"/>
                <w:spacing w:val="-2"/>
                <w:lang w:eastAsia="pl-PL"/>
              </w:rPr>
            </w:pPr>
            <w:r w:rsidRPr="007922ED">
              <w:rPr>
                <w:rFonts w:ascii="Times New Roman" w:eastAsia="Times New Roman" w:hAnsi="Times New Roman" w:cs="Times New Roman"/>
                <w:spacing w:val="-2"/>
                <w:lang w:eastAsia="pl-PL"/>
              </w:rPr>
              <w:t>Z uwagi na zakres projektu, który nie dotyczy zadań związków zawodowych oraz praw i interesów związków pracodawców, projekt nie podlega opiniowaniu przez reprezentatywne związki zawodowe oraz reprezentatywne organizacje pracodawców.</w:t>
            </w:r>
          </w:p>
          <w:p w14:paraId="53747D9D" w14:textId="77777777" w:rsidR="007922ED" w:rsidRPr="007922ED" w:rsidRDefault="007922ED">
            <w:pPr>
              <w:spacing w:after="0" w:line="240" w:lineRule="auto"/>
              <w:jc w:val="both"/>
              <w:rPr>
                <w:rFonts w:ascii="Times New Roman" w:eastAsia="Times New Roman" w:hAnsi="Times New Roman" w:cs="Times New Roman"/>
                <w:spacing w:val="-2"/>
                <w:lang w:eastAsia="pl-PL"/>
              </w:rPr>
            </w:pPr>
          </w:p>
          <w:p w14:paraId="3703D198" w14:textId="7B7092B1" w:rsidR="007922ED" w:rsidRDefault="007922ED">
            <w:pPr>
              <w:spacing w:after="0" w:line="240" w:lineRule="auto"/>
              <w:jc w:val="both"/>
              <w:rPr>
                <w:rFonts w:ascii="Times New Roman" w:eastAsia="Times New Roman" w:hAnsi="Times New Roman" w:cs="Times New Roman"/>
                <w:spacing w:val="-2"/>
                <w:lang w:eastAsia="pl-PL"/>
              </w:rPr>
            </w:pPr>
            <w:r w:rsidRPr="007922ED">
              <w:rPr>
                <w:rFonts w:ascii="Times New Roman" w:eastAsia="Times New Roman" w:hAnsi="Times New Roman" w:cs="Times New Roman"/>
                <w:spacing w:val="-2"/>
                <w:lang w:eastAsia="pl-PL"/>
              </w:rPr>
              <w:t xml:space="preserve">Projekt nie podlega opiniowaniu przez Komisję Wspólną Rządu i Samorządu Terytorialnego, gdyż nie dotyczy spraw związanych z samorządem terytorialnym, o których mowa w ustawie z dnia 6 maja 2005 r. o Komisji Wspólnej Rządu i Samorządu Terytorialnego oraz o przedstawicielach Rzeczypospolitej Polskiej w Komitecie Regionów Unii Europejskiej. </w:t>
            </w:r>
          </w:p>
          <w:p w14:paraId="28B88783" w14:textId="77777777" w:rsidR="002672C9" w:rsidRPr="007922ED" w:rsidRDefault="002672C9">
            <w:pPr>
              <w:spacing w:after="0" w:line="240" w:lineRule="auto"/>
              <w:jc w:val="both"/>
              <w:rPr>
                <w:rFonts w:ascii="Times New Roman" w:eastAsia="Times New Roman" w:hAnsi="Times New Roman" w:cs="Times New Roman"/>
                <w:spacing w:val="-2"/>
                <w:lang w:eastAsia="pl-PL"/>
              </w:rPr>
            </w:pPr>
          </w:p>
          <w:p w14:paraId="304D087D" w14:textId="29B7F307" w:rsidR="007922ED" w:rsidRDefault="007922ED">
            <w:pPr>
              <w:spacing w:after="0" w:line="240" w:lineRule="auto"/>
              <w:jc w:val="both"/>
              <w:rPr>
                <w:rFonts w:ascii="Times New Roman" w:eastAsia="Times New Roman" w:hAnsi="Times New Roman" w:cs="Times New Roman"/>
                <w:spacing w:val="-2"/>
                <w:lang w:eastAsia="pl-PL"/>
              </w:rPr>
            </w:pPr>
            <w:r w:rsidRPr="007922ED">
              <w:rPr>
                <w:rFonts w:ascii="Times New Roman" w:eastAsia="Times New Roman" w:hAnsi="Times New Roman" w:cs="Times New Roman"/>
                <w:spacing w:val="-2"/>
                <w:lang w:eastAsia="pl-PL"/>
              </w:rPr>
              <w:t>Projekt nie dotyczy spraw, o których mowa w art. 1 ustawy z dnia 24 lipca 2015 r. o Radzie Dialogu Społecznego i innych i</w:t>
            </w:r>
            <w:r w:rsidR="00D52BA2">
              <w:rPr>
                <w:rFonts w:ascii="Times New Roman" w:eastAsia="Times New Roman" w:hAnsi="Times New Roman" w:cs="Times New Roman"/>
                <w:spacing w:val="-2"/>
                <w:lang w:eastAsia="pl-PL"/>
              </w:rPr>
              <w:t>nstytucjach dialogu społecznego</w:t>
            </w:r>
            <w:r w:rsidRPr="007922ED">
              <w:rPr>
                <w:rFonts w:ascii="Times New Roman" w:eastAsia="Times New Roman" w:hAnsi="Times New Roman" w:cs="Times New Roman"/>
                <w:spacing w:val="-2"/>
                <w:lang w:eastAsia="pl-PL"/>
              </w:rPr>
              <w:t xml:space="preserve">, w związku z czym nie podlega zaopiniowaniu przez RDS. </w:t>
            </w:r>
          </w:p>
          <w:p w14:paraId="10F3254B" w14:textId="77777777" w:rsidR="002672C9" w:rsidRPr="007922ED" w:rsidRDefault="002672C9">
            <w:pPr>
              <w:spacing w:after="0" w:line="240" w:lineRule="auto"/>
              <w:jc w:val="both"/>
              <w:rPr>
                <w:rFonts w:ascii="Times New Roman" w:eastAsia="Times New Roman" w:hAnsi="Times New Roman" w:cs="Times New Roman"/>
                <w:spacing w:val="-2"/>
                <w:lang w:eastAsia="pl-PL"/>
              </w:rPr>
            </w:pPr>
          </w:p>
          <w:p w14:paraId="164B71DD" w14:textId="6DADDCA0" w:rsidR="007922ED" w:rsidRDefault="007922ED">
            <w:pPr>
              <w:spacing w:after="0" w:line="240" w:lineRule="auto"/>
              <w:jc w:val="both"/>
              <w:rPr>
                <w:rFonts w:ascii="Times New Roman" w:eastAsia="Times New Roman" w:hAnsi="Times New Roman" w:cs="Times New Roman"/>
                <w:spacing w:val="-2"/>
                <w:lang w:eastAsia="pl-PL"/>
              </w:rPr>
            </w:pPr>
            <w:r w:rsidRPr="007922ED">
              <w:rPr>
                <w:rFonts w:ascii="Times New Roman" w:eastAsia="Times New Roman" w:hAnsi="Times New Roman" w:cs="Times New Roman"/>
                <w:spacing w:val="-2"/>
                <w:lang w:eastAsia="pl-PL"/>
              </w:rPr>
              <w:t xml:space="preserve">Projekt rozporządzenia nie wymaga przedstawienia właściwym instytucjom i organom Unii Europejskiej, w tym Europejskiemu Bankowi Centralnemu, celem uzyskania opinii, dokonania powiadomienia, konsultacji albo uzgodnienia projektu. </w:t>
            </w:r>
          </w:p>
          <w:p w14:paraId="41F5D89E" w14:textId="77777777" w:rsidR="002672C9" w:rsidRPr="007922ED" w:rsidRDefault="002672C9">
            <w:pPr>
              <w:spacing w:after="0" w:line="240" w:lineRule="auto"/>
              <w:jc w:val="both"/>
              <w:rPr>
                <w:rFonts w:ascii="Times New Roman" w:eastAsia="Times New Roman" w:hAnsi="Times New Roman" w:cs="Times New Roman"/>
                <w:spacing w:val="-2"/>
                <w:lang w:eastAsia="pl-PL"/>
              </w:rPr>
            </w:pPr>
          </w:p>
          <w:p w14:paraId="731EA2DA" w14:textId="429B1F04" w:rsidR="00085B17" w:rsidRPr="00185134" w:rsidRDefault="007922ED" w:rsidP="00A6010D">
            <w:pPr>
              <w:jc w:val="both"/>
              <w:rPr>
                <w:rFonts w:ascii="Times New Roman" w:hAnsi="Times New Roman" w:cs="Times New Roman"/>
              </w:rPr>
            </w:pPr>
            <w:r w:rsidRPr="007922ED">
              <w:rPr>
                <w:rFonts w:ascii="Times New Roman" w:eastAsia="Times New Roman" w:hAnsi="Times New Roman" w:cs="Times New Roman"/>
                <w:spacing w:val="-2"/>
                <w:lang w:eastAsia="pl-PL"/>
              </w:rPr>
              <w:t>Wyniki opiniowania i konsultacji publicznych zostaną omówione w raporcie z konsultacji, zawierającym zestawienie przedstawionych stanowisk lub opinii i odniesie się do nich przez organ wnioskujący, udostępnionym na stronie Rządowego Centrum Legislacji, w zakładce Rządowy Proces Legislacyjny, najpóźniej z dniem przekazania projektu na kolejn</w:t>
            </w:r>
            <w:r w:rsidR="002672C9">
              <w:rPr>
                <w:rFonts w:ascii="Times New Roman" w:eastAsia="Times New Roman" w:hAnsi="Times New Roman" w:cs="Times New Roman"/>
                <w:spacing w:val="-2"/>
                <w:lang w:eastAsia="pl-PL"/>
              </w:rPr>
              <w:t>y etap prac legislacyjnych.</w:t>
            </w:r>
          </w:p>
        </w:tc>
      </w:tr>
      <w:tr w:rsidR="003C14DE" w:rsidRPr="009157D6" w14:paraId="75BB90D1" w14:textId="77777777" w:rsidTr="009B71B6">
        <w:trPr>
          <w:gridAfter w:val="1"/>
          <w:wAfter w:w="10" w:type="dxa"/>
          <w:trHeight w:val="363"/>
        </w:trPr>
        <w:tc>
          <w:tcPr>
            <w:tcW w:w="10937" w:type="dxa"/>
            <w:gridSpan w:val="29"/>
            <w:shd w:val="clear" w:color="auto" w:fill="99CCFF"/>
            <w:vAlign w:val="center"/>
          </w:tcPr>
          <w:p w14:paraId="1F9A18F1" w14:textId="77777777" w:rsidR="003C14DE" w:rsidRPr="009157D6" w:rsidRDefault="003C14DE" w:rsidP="009B71B6">
            <w:pPr>
              <w:widowControl w:val="0"/>
              <w:numPr>
                <w:ilvl w:val="0"/>
                <w:numId w:val="1"/>
              </w:numPr>
              <w:autoSpaceDE w:val="0"/>
              <w:autoSpaceDN w:val="0"/>
              <w:adjustRightInd w:val="0"/>
              <w:spacing w:before="60" w:after="60" w:line="276" w:lineRule="auto"/>
              <w:ind w:left="318" w:hanging="284"/>
              <w:jc w:val="both"/>
              <w:rPr>
                <w:rFonts w:ascii="Times New Roman" w:hAnsi="Times New Roman" w:cs="Times New Roman"/>
                <w:b/>
                <w:color w:val="000000"/>
              </w:rPr>
            </w:pPr>
            <w:r w:rsidRPr="009157D6">
              <w:rPr>
                <w:rFonts w:ascii="Times New Roman" w:hAnsi="Times New Roman" w:cs="Times New Roman"/>
                <w:b/>
                <w:color w:val="000000"/>
              </w:rPr>
              <w:t xml:space="preserve"> Wpływ na sektor finansów publicznych</w:t>
            </w:r>
          </w:p>
        </w:tc>
      </w:tr>
      <w:tr w:rsidR="003C14DE" w:rsidRPr="009157D6" w14:paraId="41AFB591" w14:textId="77777777" w:rsidTr="009B71B6">
        <w:trPr>
          <w:gridAfter w:val="1"/>
          <w:wAfter w:w="10" w:type="dxa"/>
          <w:trHeight w:val="142"/>
        </w:trPr>
        <w:tc>
          <w:tcPr>
            <w:tcW w:w="3133" w:type="dxa"/>
            <w:gridSpan w:val="4"/>
            <w:vMerge w:val="restart"/>
            <w:shd w:val="clear" w:color="auto" w:fill="FFFFFF"/>
          </w:tcPr>
          <w:p w14:paraId="37AF95C4" w14:textId="77777777" w:rsidR="003C14DE" w:rsidRPr="009157D6" w:rsidRDefault="003C14DE" w:rsidP="009B71B6">
            <w:pPr>
              <w:spacing w:before="40" w:after="40" w:line="276" w:lineRule="auto"/>
              <w:rPr>
                <w:rFonts w:ascii="Times New Roman" w:hAnsi="Times New Roman" w:cs="Times New Roman"/>
                <w:i/>
                <w:color w:val="000000"/>
              </w:rPr>
            </w:pPr>
            <w:r w:rsidRPr="009157D6">
              <w:rPr>
                <w:rFonts w:ascii="Times New Roman" w:hAnsi="Times New Roman" w:cs="Times New Roman"/>
                <w:color w:val="000000"/>
              </w:rPr>
              <w:t>(ceny stałe z …… r.)</w:t>
            </w:r>
          </w:p>
        </w:tc>
        <w:tc>
          <w:tcPr>
            <w:tcW w:w="7804" w:type="dxa"/>
            <w:gridSpan w:val="25"/>
            <w:shd w:val="clear" w:color="auto" w:fill="FFFFFF"/>
          </w:tcPr>
          <w:p w14:paraId="66115326" w14:textId="77777777" w:rsidR="003C14DE" w:rsidRPr="009157D6" w:rsidRDefault="003C14DE" w:rsidP="009B71B6">
            <w:pPr>
              <w:spacing w:before="40" w:after="40" w:line="240" w:lineRule="auto"/>
              <w:jc w:val="center"/>
              <w:rPr>
                <w:rFonts w:ascii="Times New Roman" w:hAnsi="Times New Roman" w:cs="Times New Roman"/>
                <w:i/>
                <w:color w:val="000000"/>
                <w:spacing w:val="-2"/>
              </w:rPr>
            </w:pPr>
            <w:r w:rsidRPr="009157D6">
              <w:rPr>
                <w:rFonts w:ascii="Times New Roman" w:hAnsi="Times New Roman" w:cs="Times New Roman"/>
                <w:color w:val="000000"/>
              </w:rPr>
              <w:t>Skutki w okresie 10 lat od wejścia w życie zmian [mln zł]</w:t>
            </w:r>
          </w:p>
        </w:tc>
      </w:tr>
      <w:tr w:rsidR="003C14DE" w:rsidRPr="009157D6" w14:paraId="7AFED916" w14:textId="77777777" w:rsidTr="009B71B6">
        <w:trPr>
          <w:gridAfter w:val="1"/>
          <w:wAfter w:w="10" w:type="dxa"/>
          <w:trHeight w:val="142"/>
        </w:trPr>
        <w:tc>
          <w:tcPr>
            <w:tcW w:w="3133" w:type="dxa"/>
            <w:gridSpan w:val="4"/>
            <w:vMerge/>
            <w:shd w:val="clear" w:color="auto" w:fill="FFFFFF"/>
          </w:tcPr>
          <w:p w14:paraId="0CD55093" w14:textId="77777777" w:rsidR="003C14DE" w:rsidRPr="009157D6" w:rsidRDefault="003C14DE" w:rsidP="009B71B6">
            <w:pPr>
              <w:spacing w:before="40" w:after="40" w:line="240" w:lineRule="auto"/>
              <w:rPr>
                <w:rFonts w:ascii="Times New Roman" w:hAnsi="Times New Roman" w:cs="Times New Roman"/>
                <w:i/>
                <w:color w:val="000000"/>
              </w:rPr>
            </w:pPr>
          </w:p>
        </w:tc>
        <w:tc>
          <w:tcPr>
            <w:tcW w:w="569" w:type="dxa"/>
            <w:gridSpan w:val="2"/>
            <w:shd w:val="clear" w:color="auto" w:fill="FFFFFF"/>
          </w:tcPr>
          <w:p w14:paraId="6E80C328"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5CCBD8BB"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1</w:t>
            </w:r>
          </w:p>
        </w:tc>
        <w:tc>
          <w:tcPr>
            <w:tcW w:w="570" w:type="dxa"/>
            <w:gridSpan w:val="3"/>
            <w:shd w:val="clear" w:color="auto" w:fill="FFFFFF"/>
          </w:tcPr>
          <w:p w14:paraId="134659E0"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2</w:t>
            </w:r>
          </w:p>
        </w:tc>
        <w:tc>
          <w:tcPr>
            <w:tcW w:w="569" w:type="dxa"/>
            <w:gridSpan w:val="2"/>
            <w:shd w:val="clear" w:color="auto" w:fill="FFFFFF"/>
          </w:tcPr>
          <w:p w14:paraId="0CF294FC"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3</w:t>
            </w:r>
          </w:p>
        </w:tc>
        <w:tc>
          <w:tcPr>
            <w:tcW w:w="570" w:type="dxa"/>
            <w:gridSpan w:val="2"/>
            <w:shd w:val="clear" w:color="auto" w:fill="FFFFFF"/>
          </w:tcPr>
          <w:p w14:paraId="514A3A46"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4</w:t>
            </w:r>
          </w:p>
        </w:tc>
        <w:tc>
          <w:tcPr>
            <w:tcW w:w="570" w:type="dxa"/>
            <w:shd w:val="clear" w:color="auto" w:fill="FFFFFF"/>
          </w:tcPr>
          <w:p w14:paraId="27AA6826"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5</w:t>
            </w:r>
          </w:p>
        </w:tc>
        <w:tc>
          <w:tcPr>
            <w:tcW w:w="570" w:type="dxa"/>
            <w:gridSpan w:val="3"/>
            <w:shd w:val="clear" w:color="auto" w:fill="FFFFFF"/>
          </w:tcPr>
          <w:p w14:paraId="4F6A2FAD"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6</w:t>
            </w:r>
          </w:p>
        </w:tc>
        <w:tc>
          <w:tcPr>
            <w:tcW w:w="569" w:type="dxa"/>
            <w:gridSpan w:val="4"/>
            <w:shd w:val="clear" w:color="auto" w:fill="FFFFFF"/>
          </w:tcPr>
          <w:p w14:paraId="37B3F0B1"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7</w:t>
            </w:r>
          </w:p>
        </w:tc>
        <w:tc>
          <w:tcPr>
            <w:tcW w:w="570" w:type="dxa"/>
            <w:shd w:val="clear" w:color="auto" w:fill="FFFFFF"/>
          </w:tcPr>
          <w:p w14:paraId="0D257EE9"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8</w:t>
            </w:r>
          </w:p>
        </w:tc>
        <w:tc>
          <w:tcPr>
            <w:tcW w:w="570" w:type="dxa"/>
            <w:gridSpan w:val="2"/>
            <w:shd w:val="clear" w:color="auto" w:fill="FFFFFF"/>
          </w:tcPr>
          <w:p w14:paraId="7282647E"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9</w:t>
            </w:r>
          </w:p>
        </w:tc>
        <w:tc>
          <w:tcPr>
            <w:tcW w:w="570" w:type="dxa"/>
            <w:shd w:val="clear" w:color="auto" w:fill="FFFFFF"/>
          </w:tcPr>
          <w:p w14:paraId="0F562A4A"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10</w:t>
            </w:r>
          </w:p>
        </w:tc>
        <w:tc>
          <w:tcPr>
            <w:tcW w:w="1537" w:type="dxa"/>
            <w:gridSpan w:val="2"/>
            <w:shd w:val="clear" w:color="auto" w:fill="FFFFFF"/>
          </w:tcPr>
          <w:p w14:paraId="77A11DBD" w14:textId="77777777" w:rsidR="003C14DE" w:rsidRPr="009157D6" w:rsidRDefault="003C14DE" w:rsidP="009B71B6">
            <w:pPr>
              <w:spacing w:before="40" w:after="40" w:line="240" w:lineRule="auto"/>
              <w:jc w:val="center"/>
              <w:rPr>
                <w:rFonts w:ascii="Times New Roman" w:hAnsi="Times New Roman" w:cs="Times New Roman"/>
                <w:i/>
                <w:color w:val="000000"/>
                <w:spacing w:val="-2"/>
              </w:rPr>
            </w:pPr>
            <w:r w:rsidRPr="009157D6">
              <w:rPr>
                <w:rFonts w:ascii="Times New Roman" w:hAnsi="Times New Roman" w:cs="Times New Roman"/>
                <w:i/>
                <w:color w:val="000000"/>
                <w:spacing w:val="-2"/>
              </w:rPr>
              <w:t>Łącznie (0-10)</w:t>
            </w:r>
          </w:p>
        </w:tc>
      </w:tr>
      <w:tr w:rsidR="003C14DE" w:rsidRPr="009157D6" w14:paraId="7E71C365" w14:textId="77777777" w:rsidTr="009B71B6">
        <w:trPr>
          <w:trHeight w:val="321"/>
        </w:trPr>
        <w:tc>
          <w:tcPr>
            <w:tcW w:w="3133" w:type="dxa"/>
            <w:gridSpan w:val="4"/>
            <w:shd w:val="clear" w:color="auto" w:fill="FFFFFF"/>
            <w:vAlign w:val="center"/>
          </w:tcPr>
          <w:p w14:paraId="1DDB23E5"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b/>
                <w:color w:val="000000"/>
              </w:rPr>
              <w:t>Dochody ogółem</w:t>
            </w:r>
          </w:p>
        </w:tc>
        <w:tc>
          <w:tcPr>
            <w:tcW w:w="569" w:type="dxa"/>
            <w:gridSpan w:val="2"/>
            <w:shd w:val="clear" w:color="auto" w:fill="FFFFFF"/>
          </w:tcPr>
          <w:p w14:paraId="7AFCC840"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4E9B4B11"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369BA2EB"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2"/>
            <w:shd w:val="clear" w:color="auto" w:fill="FFFFFF"/>
          </w:tcPr>
          <w:p w14:paraId="0BC5DFC0"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41257C13"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5615CF00"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1DB314A2"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4"/>
            <w:shd w:val="clear" w:color="auto" w:fill="FFFFFF"/>
          </w:tcPr>
          <w:p w14:paraId="7A2B5853"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6BE8614F"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4CEA08F6"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4966A98C"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547" w:type="dxa"/>
            <w:gridSpan w:val="3"/>
            <w:shd w:val="clear" w:color="auto" w:fill="FFFFFF"/>
          </w:tcPr>
          <w:p w14:paraId="02833415"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r>
      <w:tr w:rsidR="003C14DE" w:rsidRPr="009157D6" w14:paraId="20A323A0" w14:textId="77777777" w:rsidTr="009B71B6">
        <w:trPr>
          <w:trHeight w:val="321"/>
        </w:trPr>
        <w:tc>
          <w:tcPr>
            <w:tcW w:w="3133" w:type="dxa"/>
            <w:gridSpan w:val="4"/>
            <w:shd w:val="clear" w:color="auto" w:fill="FFFFFF"/>
            <w:vAlign w:val="center"/>
          </w:tcPr>
          <w:p w14:paraId="6D61FB9E"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budżet państwa</w:t>
            </w:r>
          </w:p>
        </w:tc>
        <w:tc>
          <w:tcPr>
            <w:tcW w:w="569" w:type="dxa"/>
            <w:gridSpan w:val="2"/>
            <w:shd w:val="clear" w:color="auto" w:fill="FFFFFF"/>
          </w:tcPr>
          <w:p w14:paraId="62FECBF7"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63E3AE67"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30A67FEF"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2"/>
            <w:shd w:val="clear" w:color="auto" w:fill="FFFFFF"/>
          </w:tcPr>
          <w:p w14:paraId="7E86B77B"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1139EAB7"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75EE19DC"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4A6313A5"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4"/>
            <w:shd w:val="clear" w:color="auto" w:fill="FFFFFF"/>
          </w:tcPr>
          <w:p w14:paraId="55F56B32"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431E373A"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793992A5"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30BBB755"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547" w:type="dxa"/>
            <w:gridSpan w:val="3"/>
            <w:shd w:val="clear" w:color="auto" w:fill="FFFFFF"/>
          </w:tcPr>
          <w:p w14:paraId="2C75073B"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r>
      <w:tr w:rsidR="003C14DE" w:rsidRPr="009157D6" w14:paraId="4B01D909" w14:textId="77777777" w:rsidTr="009B71B6">
        <w:trPr>
          <w:trHeight w:val="344"/>
        </w:trPr>
        <w:tc>
          <w:tcPr>
            <w:tcW w:w="3133" w:type="dxa"/>
            <w:gridSpan w:val="4"/>
            <w:shd w:val="clear" w:color="auto" w:fill="FFFFFF"/>
            <w:vAlign w:val="center"/>
          </w:tcPr>
          <w:p w14:paraId="2D9A65A7"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JST</w:t>
            </w:r>
          </w:p>
        </w:tc>
        <w:tc>
          <w:tcPr>
            <w:tcW w:w="569" w:type="dxa"/>
            <w:gridSpan w:val="2"/>
            <w:shd w:val="clear" w:color="auto" w:fill="FFFFFF"/>
          </w:tcPr>
          <w:p w14:paraId="173A77CF"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39130642"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29E3E573"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2"/>
            <w:shd w:val="clear" w:color="auto" w:fill="FFFFFF"/>
          </w:tcPr>
          <w:p w14:paraId="26E62D98"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676FD843"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48C87D72"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4E8168F6"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4"/>
            <w:shd w:val="clear" w:color="auto" w:fill="FFFFFF"/>
          </w:tcPr>
          <w:p w14:paraId="55A48A72"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24601287"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14B39A17"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492B1E0D"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547" w:type="dxa"/>
            <w:gridSpan w:val="3"/>
            <w:shd w:val="clear" w:color="auto" w:fill="FFFFFF"/>
          </w:tcPr>
          <w:p w14:paraId="162CAD52"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r>
      <w:tr w:rsidR="003C14DE" w:rsidRPr="009157D6" w14:paraId="7ABBA8A2" w14:textId="77777777" w:rsidTr="009B71B6">
        <w:trPr>
          <w:trHeight w:val="344"/>
        </w:trPr>
        <w:tc>
          <w:tcPr>
            <w:tcW w:w="3133" w:type="dxa"/>
            <w:gridSpan w:val="4"/>
            <w:shd w:val="clear" w:color="auto" w:fill="FFFFFF"/>
            <w:vAlign w:val="center"/>
          </w:tcPr>
          <w:p w14:paraId="20F01B98"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pozostałe jednostki (oddzielnie)</w:t>
            </w:r>
          </w:p>
        </w:tc>
        <w:tc>
          <w:tcPr>
            <w:tcW w:w="569" w:type="dxa"/>
            <w:gridSpan w:val="2"/>
            <w:shd w:val="clear" w:color="auto" w:fill="FFFFFF"/>
          </w:tcPr>
          <w:p w14:paraId="365F4A38"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00AF226F"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59C8B8DD"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2"/>
            <w:shd w:val="clear" w:color="auto" w:fill="FFFFFF"/>
          </w:tcPr>
          <w:p w14:paraId="0468ED80"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486C0611"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73318759"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4E2264FB"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4"/>
            <w:shd w:val="clear" w:color="auto" w:fill="FFFFFF"/>
          </w:tcPr>
          <w:p w14:paraId="1888D092"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53B62D48"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0EF3FE7F"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417711B9"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547" w:type="dxa"/>
            <w:gridSpan w:val="3"/>
            <w:shd w:val="clear" w:color="auto" w:fill="FFFFFF"/>
          </w:tcPr>
          <w:p w14:paraId="0FEFB9E8"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r>
      <w:tr w:rsidR="003C14DE" w:rsidRPr="009157D6" w14:paraId="65FC08CF" w14:textId="77777777" w:rsidTr="009B71B6">
        <w:trPr>
          <w:trHeight w:val="330"/>
        </w:trPr>
        <w:tc>
          <w:tcPr>
            <w:tcW w:w="3133" w:type="dxa"/>
            <w:gridSpan w:val="4"/>
            <w:shd w:val="clear" w:color="auto" w:fill="FFFFFF"/>
            <w:vAlign w:val="center"/>
          </w:tcPr>
          <w:p w14:paraId="0C414744"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b/>
                <w:color w:val="000000"/>
              </w:rPr>
              <w:t>Wydatki ogółem</w:t>
            </w:r>
          </w:p>
        </w:tc>
        <w:tc>
          <w:tcPr>
            <w:tcW w:w="569" w:type="dxa"/>
            <w:gridSpan w:val="2"/>
            <w:shd w:val="clear" w:color="auto" w:fill="FFFFFF"/>
          </w:tcPr>
          <w:p w14:paraId="3F57AB48"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2152D01C"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01068BAE"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2"/>
            <w:shd w:val="clear" w:color="auto" w:fill="FFFFFF"/>
          </w:tcPr>
          <w:p w14:paraId="73294CF4"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127A1612"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70AD5F11"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462507A9"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4"/>
            <w:shd w:val="clear" w:color="auto" w:fill="FFFFFF"/>
          </w:tcPr>
          <w:p w14:paraId="15A3BB3C"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4552A24C"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0E290B9D"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57AF3CE2"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547" w:type="dxa"/>
            <w:gridSpan w:val="3"/>
            <w:shd w:val="clear" w:color="auto" w:fill="FFFFFF"/>
          </w:tcPr>
          <w:p w14:paraId="78BF8270"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r>
      <w:tr w:rsidR="003C14DE" w:rsidRPr="009157D6" w14:paraId="083BE642" w14:textId="77777777" w:rsidTr="009B71B6">
        <w:trPr>
          <w:trHeight w:val="330"/>
        </w:trPr>
        <w:tc>
          <w:tcPr>
            <w:tcW w:w="3133" w:type="dxa"/>
            <w:gridSpan w:val="4"/>
            <w:shd w:val="clear" w:color="auto" w:fill="FFFFFF"/>
            <w:vAlign w:val="center"/>
          </w:tcPr>
          <w:p w14:paraId="10EACC70"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lastRenderedPageBreak/>
              <w:t>budżet państwa</w:t>
            </w:r>
          </w:p>
        </w:tc>
        <w:tc>
          <w:tcPr>
            <w:tcW w:w="569" w:type="dxa"/>
            <w:gridSpan w:val="2"/>
            <w:shd w:val="clear" w:color="auto" w:fill="FFFFFF"/>
          </w:tcPr>
          <w:p w14:paraId="1AB192FF"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2960FDDB"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08F77D66"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2"/>
            <w:shd w:val="clear" w:color="auto" w:fill="FFFFFF"/>
          </w:tcPr>
          <w:p w14:paraId="1992666F"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20706287"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1280A359"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6C0739B0"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4"/>
            <w:shd w:val="clear" w:color="auto" w:fill="FFFFFF"/>
          </w:tcPr>
          <w:p w14:paraId="6C3D0328"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7BAEF6DC"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02415454"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1F4CDE7A"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547" w:type="dxa"/>
            <w:gridSpan w:val="3"/>
            <w:shd w:val="clear" w:color="auto" w:fill="FFFFFF"/>
          </w:tcPr>
          <w:p w14:paraId="62FFBE7E"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r>
      <w:tr w:rsidR="003C14DE" w:rsidRPr="009157D6" w14:paraId="41A2C45E" w14:textId="77777777" w:rsidTr="009B71B6">
        <w:trPr>
          <w:trHeight w:val="351"/>
        </w:trPr>
        <w:tc>
          <w:tcPr>
            <w:tcW w:w="3133" w:type="dxa"/>
            <w:gridSpan w:val="4"/>
            <w:shd w:val="clear" w:color="auto" w:fill="FFFFFF"/>
            <w:vAlign w:val="center"/>
          </w:tcPr>
          <w:p w14:paraId="7CFD1677"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JST</w:t>
            </w:r>
          </w:p>
        </w:tc>
        <w:tc>
          <w:tcPr>
            <w:tcW w:w="569" w:type="dxa"/>
            <w:gridSpan w:val="2"/>
            <w:shd w:val="clear" w:color="auto" w:fill="FFFFFF"/>
          </w:tcPr>
          <w:p w14:paraId="1453BEAE"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6BC6DEF8"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4764AE0E"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2"/>
            <w:shd w:val="clear" w:color="auto" w:fill="FFFFFF"/>
          </w:tcPr>
          <w:p w14:paraId="7C762088"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5ACAEC41"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35D6545A"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7A6ED942"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4"/>
            <w:shd w:val="clear" w:color="auto" w:fill="FFFFFF"/>
          </w:tcPr>
          <w:p w14:paraId="0991ADA5"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34BF3F60"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27EF14B4"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19F9F42A"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547" w:type="dxa"/>
            <w:gridSpan w:val="3"/>
            <w:shd w:val="clear" w:color="auto" w:fill="FFFFFF"/>
          </w:tcPr>
          <w:p w14:paraId="2518C0A2"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r>
      <w:tr w:rsidR="003C14DE" w:rsidRPr="009157D6" w14:paraId="566A0A4C" w14:textId="77777777" w:rsidTr="009B71B6">
        <w:trPr>
          <w:trHeight w:val="351"/>
        </w:trPr>
        <w:tc>
          <w:tcPr>
            <w:tcW w:w="3133" w:type="dxa"/>
            <w:gridSpan w:val="4"/>
            <w:shd w:val="clear" w:color="auto" w:fill="FFFFFF"/>
            <w:vAlign w:val="center"/>
          </w:tcPr>
          <w:p w14:paraId="1C5428DC"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pozostałe jednostki (oddzielnie)</w:t>
            </w:r>
          </w:p>
        </w:tc>
        <w:tc>
          <w:tcPr>
            <w:tcW w:w="569" w:type="dxa"/>
            <w:gridSpan w:val="2"/>
            <w:shd w:val="clear" w:color="auto" w:fill="FFFFFF"/>
          </w:tcPr>
          <w:p w14:paraId="63B04A2D"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7D1A7A68"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7BD6F4B8"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2"/>
            <w:shd w:val="clear" w:color="auto" w:fill="FFFFFF"/>
          </w:tcPr>
          <w:p w14:paraId="00772A50"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769EEF17"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4A472FC1"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27FFE1CC"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4"/>
            <w:shd w:val="clear" w:color="auto" w:fill="FFFFFF"/>
          </w:tcPr>
          <w:p w14:paraId="1E860B0E"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1762D78E"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45F4104B"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3F21DF71"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547" w:type="dxa"/>
            <w:gridSpan w:val="3"/>
            <w:shd w:val="clear" w:color="auto" w:fill="FFFFFF"/>
          </w:tcPr>
          <w:p w14:paraId="1185D5DC"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r>
      <w:tr w:rsidR="003C14DE" w:rsidRPr="009157D6" w14:paraId="4EFC9747" w14:textId="77777777" w:rsidTr="009B71B6">
        <w:trPr>
          <w:trHeight w:val="360"/>
        </w:trPr>
        <w:tc>
          <w:tcPr>
            <w:tcW w:w="3133" w:type="dxa"/>
            <w:gridSpan w:val="4"/>
            <w:shd w:val="clear" w:color="auto" w:fill="FFFFFF"/>
            <w:vAlign w:val="center"/>
          </w:tcPr>
          <w:p w14:paraId="3D19FA59"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b/>
                <w:color w:val="000000"/>
              </w:rPr>
              <w:t>Saldo ogółem</w:t>
            </w:r>
          </w:p>
        </w:tc>
        <w:tc>
          <w:tcPr>
            <w:tcW w:w="569" w:type="dxa"/>
            <w:gridSpan w:val="2"/>
            <w:shd w:val="clear" w:color="auto" w:fill="FFFFFF"/>
          </w:tcPr>
          <w:p w14:paraId="28A60206"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03A863EB"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6E0DE9A3"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2"/>
            <w:shd w:val="clear" w:color="auto" w:fill="FFFFFF"/>
          </w:tcPr>
          <w:p w14:paraId="26C9060E"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08FA1A09"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7DC581AA"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1D0C5204"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4"/>
            <w:shd w:val="clear" w:color="auto" w:fill="FFFFFF"/>
          </w:tcPr>
          <w:p w14:paraId="7CB335A5"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021E051D"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54B6DAE9"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05F91164"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547" w:type="dxa"/>
            <w:gridSpan w:val="3"/>
            <w:shd w:val="clear" w:color="auto" w:fill="FFFFFF"/>
          </w:tcPr>
          <w:p w14:paraId="3F1CCD4B"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r>
      <w:tr w:rsidR="003C14DE" w:rsidRPr="009157D6" w14:paraId="2099639C" w14:textId="77777777" w:rsidTr="009B71B6">
        <w:trPr>
          <w:trHeight w:val="360"/>
        </w:trPr>
        <w:tc>
          <w:tcPr>
            <w:tcW w:w="3133" w:type="dxa"/>
            <w:gridSpan w:val="4"/>
            <w:shd w:val="clear" w:color="auto" w:fill="FFFFFF"/>
            <w:vAlign w:val="center"/>
          </w:tcPr>
          <w:p w14:paraId="4B446140"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budżet państwa</w:t>
            </w:r>
          </w:p>
        </w:tc>
        <w:tc>
          <w:tcPr>
            <w:tcW w:w="569" w:type="dxa"/>
            <w:gridSpan w:val="2"/>
            <w:shd w:val="clear" w:color="auto" w:fill="FFFFFF"/>
          </w:tcPr>
          <w:p w14:paraId="1953A1A7"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386D4F7F"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548F8E15"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2"/>
            <w:shd w:val="clear" w:color="auto" w:fill="FFFFFF"/>
          </w:tcPr>
          <w:p w14:paraId="224A9864"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22C50939"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7BFFA1D3"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18F01EDB"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4"/>
            <w:shd w:val="clear" w:color="auto" w:fill="FFFFFF"/>
          </w:tcPr>
          <w:p w14:paraId="4EDC6D22"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79538651"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1454D0E2"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14DE2088"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547" w:type="dxa"/>
            <w:gridSpan w:val="3"/>
            <w:shd w:val="clear" w:color="auto" w:fill="FFFFFF"/>
          </w:tcPr>
          <w:p w14:paraId="2892BE40"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r>
      <w:tr w:rsidR="003C14DE" w:rsidRPr="009157D6" w14:paraId="3BF409BB" w14:textId="77777777" w:rsidTr="009B71B6">
        <w:trPr>
          <w:trHeight w:val="70"/>
        </w:trPr>
        <w:tc>
          <w:tcPr>
            <w:tcW w:w="3133" w:type="dxa"/>
            <w:gridSpan w:val="4"/>
            <w:shd w:val="clear" w:color="auto" w:fill="FFFFFF"/>
            <w:vAlign w:val="center"/>
          </w:tcPr>
          <w:p w14:paraId="378F20A7"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JST</w:t>
            </w:r>
          </w:p>
        </w:tc>
        <w:tc>
          <w:tcPr>
            <w:tcW w:w="569" w:type="dxa"/>
            <w:gridSpan w:val="2"/>
            <w:shd w:val="clear" w:color="auto" w:fill="FFFFFF"/>
          </w:tcPr>
          <w:p w14:paraId="08E47D5D"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40AA1255"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578E0D89"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2"/>
            <w:shd w:val="clear" w:color="auto" w:fill="FFFFFF"/>
          </w:tcPr>
          <w:p w14:paraId="7FAA259F"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3D723155"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60DB6B5C"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5CB28E53"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4"/>
            <w:shd w:val="clear" w:color="auto" w:fill="FFFFFF"/>
          </w:tcPr>
          <w:p w14:paraId="490AE131"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416DE2E0"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2FA58F8E"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7D810ECD"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547" w:type="dxa"/>
            <w:gridSpan w:val="3"/>
            <w:shd w:val="clear" w:color="auto" w:fill="FFFFFF"/>
          </w:tcPr>
          <w:p w14:paraId="5B21D4F8"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r>
      <w:tr w:rsidR="003C14DE" w:rsidRPr="009157D6" w14:paraId="1C8B6E49" w14:textId="77777777" w:rsidTr="009B71B6">
        <w:trPr>
          <w:trHeight w:val="357"/>
        </w:trPr>
        <w:tc>
          <w:tcPr>
            <w:tcW w:w="3133" w:type="dxa"/>
            <w:gridSpan w:val="4"/>
            <w:shd w:val="clear" w:color="auto" w:fill="FFFFFF"/>
            <w:vAlign w:val="center"/>
          </w:tcPr>
          <w:p w14:paraId="1C262A65"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pozostałe jednostki (oddzielnie)</w:t>
            </w:r>
          </w:p>
        </w:tc>
        <w:tc>
          <w:tcPr>
            <w:tcW w:w="569" w:type="dxa"/>
            <w:gridSpan w:val="2"/>
            <w:shd w:val="clear" w:color="auto" w:fill="FFFFFF"/>
          </w:tcPr>
          <w:p w14:paraId="7F3527E6"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3548A023"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3E3422AD"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2"/>
            <w:shd w:val="clear" w:color="auto" w:fill="FFFFFF"/>
          </w:tcPr>
          <w:p w14:paraId="71231705"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6A37024A"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5B5FCB3D"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3"/>
            <w:shd w:val="clear" w:color="auto" w:fill="FFFFFF"/>
          </w:tcPr>
          <w:p w14:paraId="0504D4C1"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69" w:type="dxa"/>
            <w:gridSpan w:val="4"/>
            <w:shd w:val="clear" w:color="auto" w:fill="FFFFFF"/>
          </w:tcPr>
          <w:p w14:paraId="2562B1AD"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56471137"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gridSpan w:val="2"/>
            <w:shd w:val="clear" w:color="auto" w:fill="FFFFFF"/>
          </w:tcPr>
          <w:p w14:paraId="7F6C3CE0"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570" w:type="dxa"/>
            <w:shd w:val="clear" w:color="auto" w:fill="FFFFFF"/>
          </w:tcPr>
          <w:p w14:paraId="76684BAB"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547" w:type="dxa"/>
            <w:gridSpan w:val="3"/>
            <w:shd w:val="clear" w:color="auto" w:fill="FFFFFF"/>
          </w:tcPr>
          <w:p w14:paraId="1A2BC759"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r>
      <w:tr w:rsidR="003C14DE" w:rsidRPr="009157D6" w14:paraId="3B1F2096" w14:textId="77777777" w:rsidTr="009B71B6">
        <w:trPr>
          <w:gridAfter w:val="1"/>
          <w:wAfter w:w="10" w:type="dxa"/>
          <w:trHeight w:val="348"/>
        </w:trPr>
        <w:tc>
          <w:tcPr>
            <w:tcW w:w="2243" w:type="dxa"/>
            <w:gridSpan w:val="2"/>
            <w:shd w:val="clear" w:color="auto" w:fill="FFFFFF"/>
            <w:vAlign w:val="center"/>
          </w:tcPr>
          <w:p w14:paraId="2C12AEE7"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 xml:space="preserve">Źródła finansowania </w:t>
            </w:r>
          </w:p>
        </w:tc>
        <w:tc>
          <w:tcPr>
            <w:tcW w:w="8694" w:type="dxa"/>
            <w:gridSpan w:val="27"/>
            <w:shd w:val="clear" w:color="auto" w:fill="FFFFFF"/>
            <w:vAlign w:val="center"/>
          </w:tcPr>
          <w:p w14:paraId="63CC993A" w14:textId="52578CDB" w:rsidR="003C14DE" w:rsidRPr="009157D6" w:rsidRDefault="003A7EA1" w:rsidP="009B71B6">
            <w:pPr>
              <w:spacing w:line="240" w:lineRule="auto"/>
              <w:jc w:val="both"/>
              <w:rPr>
                <w:rFonts w:ascii="Times New Roman" w:hAnsi="Times New Roman" w:cs="Times New Roman"/>
                <w:color w:val="000000"/>
              </w:rPr>
            </w:pPr>
            <w:r w:rsidRPr="003A7EA1">
              <w:rPr>
                <w:rFonts w:ascii="Times New Roman" w:hAnsi="Times New Roman" w:cs="Times New Roman"/>
                <w:color w:val="000000"/>
              </w:rPr>
              <w:t>Rozporządzenie nie powoduje skutków finansowych dla jednostek sektora finansów publicznych, w tym budżetu państwa i budżetów jednostek samorządu terytorialnego, polegających na zwiększeniu wydatków lub zmniejszeniu dochodów tych jednostek w stosunku do wielkości wynikających z obowiązujących przepisów</w:t>
            </w:r>
            <w:r>
              <w:rPr>
                <w:rFonts w:ascii="Times New Roman" w:hAnsi="Times New Roman" w:cs="Times New Roman"/>
                <w:color w:val="000000"/>
              </w:rPr>
              <w:t>.</w:t>
            </w:r>
          </w:p>
        </w:tc>
      </w:tr>
      <w:tr w:rsidR="003C14DE" w:rsidRPr="009157D6" w14:paraId="2570B4FA" w14:textId="77777777" w:rsidTr="009B71B6">
        <w:trPr>
          <w:gridAfter w:val="1"/>
          <w:wAfter w:w="10" w:type="dxa"/>
          <w:trHeight w:val="1371"/>
        </w:trPr>
        <w:tc>
          <w:tcPr>
            <w:tcW w:w="2243" w:type="dxa"/>
            <w:gridSpan w:val="2"/>
            <w:shd w:val="clear" w:color="auto" w:fill="FFFFFF"/>
          </w:tcPr>
          <w:p w14:paraId="3431DE27"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Dodatkowe informacje, w tym wskazanie źródeł danych i przyjętych do obliczeń założeń</w:t>
            </w:r>
          </w:p>
        </w:tc>
        <w:tc>
          <w:tcPr>
            <w:tcW w:w="8694" w:type="dxa"/>
            <w:gridSpan w:val="27"/>
            <w:shd w:val="clear" w:color="auto" w:fill="FFFFFF"/>
          </w:tcPr>
          <w:p w14:paraId="782458D4" w14:textId="7105114E" w:rsidR="003C14DE" w:rsidRPr="009E5A37" w:rsidRDefault="003C14DE" w:rsidP="009B71B6">
            <w:pPr>
              <w:spacing w:line="276" w:lineRule="auto"/>
              <w:rPr>
                <w:rFonts w:ascii="Times New Roman" w:hAnsi="Times New Roman" w:cs="Times New Roman"/>
              </w:rPr>
            </w:pPr>
            <w:r w:rsidRPr="00322F94">
              <w:rPr>
                <w:rFonts w:ascii="Times New Roman" w:eastAsia="Calibri" w:hAnsi="Times New Roman" w:cs="Times New Roman"/>
              </w:rPr>
              <w:t>Regulacja ma charakter wtórny wobec rozwiązań przyjętych w ustawie i nie będzie angażować środków budżetowych.</w:t>
            </w:r>
          </w:p>
        </w:tc>
      </w:tr>
      <w:tr w:rsidR="003C14DE" w:rsidRPr="009157D6" w14:paraId="5994D5BD" w14:textId="77777777" w:rsidTr="009B71B6">
        <w:trPr>
          <w:gridAfter w:val="1"/>
          <w:wAfter w:w="10" w:type="dxa"/>
          <w:trHeight w:val="345"/>
        </w:trPr>
        <w:tc>
          <w:tcPr>
            <w:tcW w:w="10937" w:type="dxa"/>
            <w:gridSpan w:val="29"/>
            <w:shd w:val="clear" w:color="auto" w:fill="99CCFF"/>
          </w:tcPr>
          <w:p w14:paraId="6FDBAD50" w14:textId="77777777" w:rsidR="003C14DE" w:rsidRPr="009157D6" w:rsidRDefault="003C14DE" w:rsidP="009B71B6">
            <w:pPr>
              <w:widowControl w:val="0"/>
              <w:numPr>
                <w:ilvl w:val="0"/>
                <w:numId w:val="1"/>
              </w:numPr>
              <w:autoSpaceDE w:val="0"/>
              <w:autoSpaceDN w:val="0"/>
              <w:adjustRightInd w:val="0"/>
              <w:spacing w:before="120" w:after="120" w:line="276" w:lineRule="auto"/>
              <w:jc w:val="both"/>
              <w:rPr>
                <w:rFonts w:ascii="Times New Roman" w:hAnsi="Times New Roman" w:cs="Times New Roman"/>
                <w:b/>
                <w:color w:val="000000"/>
                <w:spacing w:val="-2"/>
              </w:rPr>
            </w:pPr>
            <w:r w:rsidRPr="009157D6">
              <w:rPr>
                <w:rFonts w:ascii="Times New Roman" w:hAnsi="Times New Roman" w:cs="Times New Roman"/>
                <w:b/>
                <w:color w:val="000000"/>
                <w:spacing w:val="-2"/>
              </w:rPr>
              <w:t xml:space="preserve">Wpływ na </w:t>
            </w:r>
            <w:r w:rsidRPr="009157D6">
              <w:rPr>
                <w:rFonts w:ascii="Times New Roman" w:hAnsi="Times New Roman" w:cs="Times New Roman"/>
                <w:b/>
                <w:color w:val="000000"/>
              </w:rPr>
              <w:t xml:space="preserve">konkurencyjność gospodarki i przedsiębiorczość, w tym funkcjonowanie przedsiębiorców oraz na rodzinę, obywateli i gospodarstwa domowe </w:t>
            </w:r>
          </w:p>
        </w:tc>
      </w:tr>
      <w:tr w:rsidR="003C14DE" w:rsidRPr="009157D6" w14:paraId="3AB01708" w14:textId="77777777" w:rsidTr="009B71B6">
        <w:trPr>
          <w:gridAfter w:val="1"/>
          <w:wAfter w:w="10" w:type="dxa"/>
          <w:trHeight w:val="142"/>
        </w:trPr>
        <w:tc>
          <w:tcPr>
            <w:tcW w:w="10937" w:type="dxa"/>
            <w:gridSpan w:val="29"/>
            <w:shd w:val="clear" w:color="auto" w:fill="FFFFFF"/>
          </w:tcPr>
          <w:p w14:paraId="3DD8A148" w14:textId="77777777" w:rsidR="003C14DE" w:rsidRPr="009157D6" w:rsidRDefault="003C14DE" w:rsidP="009B71B6">
            <w:pPr>
              <w:spacing w:line="240" w:lineRule="auto"/>
              <w:jc w:val="center"/>
              <w:rPr>
                <w:rFonts w:ascii="Times New Roman" w:hAnsi="Times New Roman" w:cs="Times New Roman"/>
                <w:color w:val="000000"/>
                <w:spacing w:val="-2"/>
              </w:rPr>
            </w:pPr>
            <w:r w:rsidRPr="009157D6">
              <w:rPr>
                <w:rFonts w:ascii="Times New Roman" w:hAnsi="Times New Roman" w:cs="Times New Roman"/>
                <w:color w:val="000000"/>
                <w:spacing w:val="-2"/>
              </w:rPr>
              <w:t>Skutki</w:t>
            </w:r>
          </w:p>
        </w:tc>
      </w:tr>
      <w:tr w:rsidR="003C14DE" w:rsidRPr="009157D6" w14:paraId="3D05EE29" w14:textId="77777777" w:rsidTr="009B71B6">
        <w:trPr>
          <w:gridAfter w:val="1"/>
          <w:wAfter w:w="10" w:type="dxa"/>
          <w:trHeight w:val="142"/>
        </w:trPr>
        <w:tc>
          <w:tcPr>
            <w:tcW w:w="3889" w:type="dxa"/>
            <w:gridSpan w:val="7"/>
            <w:shd w:val="clear" w:color="auto" w:fill="FFFFFF"/>
          </w:tcPr>
          <w:p w14:paraId="10705983"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Czas w latach od wejścia w życie zmian</w:t>
            </w:r>
          </w:p>
        </w:tc>
        <w:tc>
          <w:tcPr>
            <w:tcW w:w="937" w:type="dxa"/>
            <w:gridSpan w:val="3"/>
            <w:shd w:val="clear" w:color="auto" w:fill="FFFFFF"/>
          </w:tcPr>
          <w:p w14:paraId="4126B4A1"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0</w:t>
            </w:r>
          </w:p>
        </w:tc>
        <w:tc>
          <w:tcPr>
            <w:tcW w:w="938" w:type="dxa"/>
            <w:gridSpan w:val="4"/>
            <w:shd w:val="clear" w:color="auto" w:fill="FFFFFF"/>
          </w:tcPr>
          <w:p w14:paraId="04EC6D9E"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1</w:t>
            </w:r>
          </w:p>
        </w:tc>
        <w:tc>
          <w:tcPr>
            <w:tcW w:w="938" w:type="dxa"/>
            <w:gridSpan w:val="4"/>
            <w:shd w:val="clear" w:color="auto" w:fill="FFFFFF"/>
          </w:tcPr>
          <w:p w14:paraId="7D35F3CD"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2</w:t>
            </w:r>
          </w:p>
        </w:tc>
        <w:tc>
          <w:tcPr>
            <w:tcW w:w="937" w:type="dxa"/>
            <w:gridSpan w:val="4"/>
            <w:shd w:val="clear" w:color="auto" w:fill="FFFFFF"/>
          </w:tcPr>
          <w:p w14:paraId="19D70286"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3</w:t>
            </w:r>
          </w:p>
        </w:tc>
        <w:tc>
          <w:tcPr>
            <w:tcW w:w="938" w:type="dxa"/>
            <w:gridSpan w:val="3"/>
            <w:shd w:val="clear" w:color="auto" w:fill="FFFFFF"/>
          </w:tcPr>
          <w:p w14:paraId="68889CAE"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5</w:t>
            </w:r>
          </w:p>
        </w:tc>
        <w:tc>
          <w:tcPr>
            <w:tcW w:w="938" w:type="dxa"/>
            <w:gridSpan w:val="3"/>
            <w:shd w:val="clear" w:color="auto" w:fill="FFFFFF"/>
          </w:tcPr>
          <w:p w14:paraId="5BEF9C6C" w14:textId="77777777" w:rsidR="003C14DE" w:rsidRPr="009157D6" w:rsidRDefault="003C14DE" w:rsidP="009B71B6">
            <w:pPr>
              <w:spacing w:line="240" w:lineRule="auto"/>
              <w:jc w:val="center"/>
              <w:rPr>
                <w:rFonts w:ascii="Times New Roman" w:hAnsi="Times New Roman" w:cs="Times New Roman"/>
                <w:color w:val="000000"/>
              </w:rPr>
            </w:pPr>
            <w:r w:rsidRPr="009157D6">
              <w:rPr>
                <w:rFonts w:ascii="Times New Roman" w:hAnsi="Times New Roman" w:cs="Times New Roman"/>
                <w:color w:val="000000"/>
              </w:rPr>
              <w:t>10</w:t>
            </w:r>
          </w:p>
        </w:tc>
        <w:tc>
          <w:tcPr>
            <w:tcW w:w="1422" w:type="dxa"/>
            <w:shd w:val="clear" w:color="auto" w:fill="FFFFFF"/>
          </w:tcPr>
          <w:p w14:paraId="1250B394" w14:textId="77777777" w:rsidR="003C14DE" w:rsidRPr="009157D6" w:rsidRDefault="003C14DE" w:rsidP="009B71B6">
            <w:pPr>
              <w:spacing w:line="240" w:lineRule="auto"/>
              <w:jc w:val="center"/>
              <w:rPr>
                <w:rFonts w:ascii="Times New Roman" w:hAnsi="Times New Roman" w:cs="Times New Roman"/>
                <w:i/>
                <w:color w:val="000000"/>
                <w:spacing w:val="-2"/>
              </w:rPr>
            </w:pPr>
            <w:r w:rsidRPr="009157D6">
              <w:rPr>
                <w:rFonts w:ascii="Times New Roman" w:hAnsi="Times New Roman" w:cs="Times New Roman"/>
                <w:i/>
                <w:color w:val="000000"/>
                <w:spacing w:val="-2"/>
              </w:rPr>
              <w:t>Łącznie</w:t>
            </w:r>
            <w:r w:rsidRPr="009157D6" w:rsidDel="0073273A">
              <w:rPr>
                <w:rFonts w:ascii="Times New Roman" w:hAnsi="Times New Roman" w:cs="Times New Roman"/>
                <w:i/>
                <w:color w:val="000000"/>
                <w:spacing w:val="-2"/>
              </w:rPr>
              <w:t xml:space="preserve"> </w:t>
            </w:r>
            <w:r w:rsidRPr="009157D6">
              <w:rPr>
                <w:rFonts w:ascii="Times New Roman" w:hAnsi="Times New Roman" w:cs="Times New Roman"/>
                <w:i/>
                <w:color w:val="000000"/>
                <w:spacing w:val="-2"/>
              </w:rPr>
              <w:t>(0-10)</w:t>
            </w:r>
          </w:p>
        </w:tc>
      </w:tr>
      <w:tr w:rsidR="00DA6955" w:rsidRPr="009157D6" w14:paraId="767DD3F2" w14:textId="77777777" w:rsidTr="009B71B6">
        <w:trPr>
          <w:gridAfter w:val="1"/>
          <w:wAfter w:w="10" w:type="dxa"/>
          <w:trHeight w:val="142"/>
        </w:trPr>
        <w:tc>
          <w:tcPr>
            <w:tcW w:w="1596" w:type="dxa"/>
            <w:vMerge w:val="restart"/>
            <w:shd w:val="clear" w:color="auto" w:fill="FFFFFF"/>
          </w:tcPr>
          <w:p w14:paraId="278E79FB" w14:textId="77777777" w:rsidR="00DA6955" w:rsidRPr="009157D6" w:rsidRDefault="00DA6955" w:rsidP="009B71B6">
            <w:pPr>
              <w:spacing w:line="276" w:lineRule="auto"/>
              <w:rPr>
                <w:rFonts w:ascii="Times New Roman" w:hAnsi="Times New Roman" w:cs="Times New Roman"/>
                <w:color w:val="000000"/>
              </w:rPr>
            </w:pPr>
            <w:r w:rsidRPr="009157D6">
              <w:rPr>
                <w:rFonts w:ascii="Times New Roman" w:hAnsi="Times New Roman" w:cs="Times New Roman"/>
                <w:color w:val="000000"/>
              </w:rPr>
              <w:t>W ujęciu pieniężnym</w:t>
            </w:r>
          </w:p>
          <w:p w14:paraId="1FEA58EB" w14:textId="77777777" w:rsidR="00DA6955" w:rsidRPr="009157D6" w:rsidRDefault="00DA6955" w:rsidP="009B71B6">
            <w:pPr>
              <w:spacing w:line="276" w:lineRule="auto"/>
              <w:rPr>
                <w:rFonts w:ascii="Times New Roman" w:hAnsi="Times New Roman" w:cs="Times New Roman"/>
                <w:spacing w:val="-2"/>
              </w:rPr>
            </w:pPr>
            <w:r w:rsidRPr="009157D6">
              <w:rPr>
                <w:rFonts w:ascii="Times New Roman" w:hAnsi="Times New Roman" w:cs="Times New Roman"/>
                <w:spacing w:val="-2"/>
              </w:rPr>
              <w:t xml:space="preserve">(w mln zł, </w:t>
            </w:r>
          </w:p>
          <w:p w14:paraId="7C61F4D4"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spacing w:val="-2"/>
              </w:rPr>
              <w:t>ceny stałe z …… r.)</w:t>
            </w:r>
          </w:p>
        </w:tc>
        <w:tc>
          <w:tcPr>
            <w:tcW w:w="2293" w:type="dxa"/>
            <w:gridSpan w:val="6"/>
            <w:shd w:val="clear" w:color="auto" w:fill="FFFFFF"/>
          </w:tcPr>
          <w:p w14:paraId="54FA5177"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duże przedsiębiorstwa</w:t>
            </w:r>
          </w:p>
        </w:tc>
        <w:tc>
          <w:tcPr>
            <w:tcW w:w="937" w:type="dxa"/>
            <w:gridSpan w:val="3"/>
            <w:shd w:val="clear" w:color="auto" w:fill="FFFFFF"/>
          </w:tcPr>
          <w:p w14:paraId="2214242A"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8" w:type="dxa"/>
            <w:gridSpan w:val="4"/>
            <w:shd w:val="clear" w:color="auto" w:fill="FFFFFF"/>
          </w:tcPr>
          <w:p w14:paraId="79BC223E"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8" w:type="dxa"/>
            <w:gridSpan w:val="4"/>
            <w:shd w:val="clear" w:color="auto" w:fill="FFFFFF"/>
          </w:tcPr>
          <w:p w14:paraId="417A8D33"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7" w:type="dxa"/>
            <w:gridSpan w:val="4"/>
            <w:shd w:val="clear" w:color="auto" w:fill="FFFFFF"/>
          </w:tcPr>
          <w:p w14:paraId="1587ADEE"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8" w:type="dxa"/>
            <w:gridSpan w:val="3"/>
            <w:shd w:val="clear" w:color="auto" w:fill="FFFFFF"/>
          </w:tcPr>
          <w:p w14:paraId="1128331E"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8" w:type="dxa"/>
            <w:gridSpan w:val="3"/>
            <w:shd w:val="clear" w:color="auto" w:fill="FFFFFF"/>
          </w:tcPr>
          <w:p w14:paraId="4E3DCD74"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422" w:type="dxa"/>
            <w:shd w:val="clear" w:color="auto" w:fill="FFFFFF"/>
          </w:tcPr>
          <w:p w14:paraId="33FFC6E3" w14:textId="77777777" w:rsidR="00DA6955" w:rsidRPr="009157D6" w:rsidRDefault="00DA6955" w:rsidP="009B71B6">
            <w:pPr>
              <w:spacing w:line="240" w:lineRule="auto"/>
              <w:rPr>
                <w:rFonts w:ascii="Times New Roman" w:hAnsi="Times New Roman" w:cs="Times New Roman"/>
                <w:color w:val="000000"/>
                <w:spacing w:val="-2"/>
              </w:rPr>
            </w:pPr>
            <w:r w:rsidRPr="009157D6">
              <w:rPr>
                <w:rFonts w:ascii="Times New Roman" w:hAnsi="Times New Roman" w:cs="Times New Roman"/>
                <w:color w:val="000000"/>
                <w:spacing w:val="-2"/>
              </w:rPr>
              <w:t>0</w:t>
            </w:r>
          </w:p>
        </w:tc>
      </w:tr>
      <w:tr w:rsidR="00DA6955" w:rsidRPr="009157D6" w14:paraId="1141A767" w14:textId="77777777" w:rsidTr="009B71B6">
        <w:trPr>
          <w:gridAfter w:val="1"/>
          <w:wAfter w:w="10" w:type="dxa"/>
          <w:trHeight w:val="142"/>
        </w:trPr>
        <w:tc>
          <w:tcPr>
            <w:tcW w:w="1596" w:type="dxa"/>
            <w:vMerge/>
            <w:shd w:val="clear" w:color="auto" w:fill="FFFFFF"/>
          </w:tcPr>
          <w:p w14:paraId="5438D0D1" w14:textId="77777777" w:rsidR="00DA6955" w:rsidRPr="009157D6" w:rsidRDefault="00DA6955" w:rsidP="009B71B6">
            <w:pPr>
              <w:spacing w:line="240" w:lineRule="auto"/>
              <w:rPr>
                <w:rFonts w:ascii="Times New Roman" w:hAnsi="Times New Roman" w:cs="Times New Roman"/>
                <w:color w:val="000000"/>
              </w:rPr>
            </w:pPr>
          </w:p>
        </w:tc>
        <w:tc>
          <w:tcPr>
            <w:tcW w:w="2293" w:type="dxa"/>
            <w:gridSpan w:val="6"/>
            <w:shd w:val="clear" w:color="auto" w:fill="FFFFFF"/>
          </w:tcPr>
          <w:p w14:paraId="22AFBCF7"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sektor mikro-, małych i średnich przedsiębiorstw</w:t>
            </w:r>
          </w:p>
        </w:tc>
        <w:tc>
          <w:tcPr>
            <w:tcW w:w="937" w:type="dxa"/>
            <w:gridSpan w:val="3"/>
            <w:shd w:val="clear" w:color="auto" w:fill="FFFFFF"/>
          </w:tcPr>
          <w:p w14:paraId="4AF11DCE"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8" w:type="dxa"/>
            <w:gridSpan w:val="4"/>
            <w:shd w:val="clear" w:color="auto" w:fill="FFFFFF"/>
          </w:tcPr>
          <w:p w14:paraId="1F114C04"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8" w:type="dxa"/>
            <w:gridSpan w:val="4"/>
            <w:shd w:val="clear" w:color="auto" w:fill="FFFFFF"/>
          </w:tcPr>
          <w:p w14:paraId="759E09AB"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7" w:type="dxa"/>
            <w:gridSpan w:val="4"/>
            <w:shd w:val="clear" w:color="auto" w:fill="FFFFFF"/>
          </w:tcPr>
          <w:p w14:paraId="4AE5EB9E"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8" w:type="dxa"/>
            <w:gridSpan w:val="3"/>
            <w:shd w:val="clear" w:color="auto" w:fill="FFFFFF"/>
          </w:tcPr>
          <w:p w14:paraId="718CE808"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8" w:type="dxa"/>
            <w:gridSpan w:val="3"/>
            <w:shd w:val="clear" w:color="auto" w:fill="FFFFFF"/>
          </w:tcPr>
          <w:p w14:paraId="45AE80BA"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422" w:type="dxa"/>
            <w:shd w:val="clear" w:color="auto" w:fill="FFFFFF"/>
          </w:tcPr>
          <w:p w14:paraId="528D494B" w14:textId="77777777" w:rsidR="00DA6955" w:rsidRPr="009157D6" w:rsidRDefault="00DA6955" w:rsidP="009B71B6">
            <w:pPr>
              <w:spacing w:line="240" w:lineRule="auto"/>
              <w:rPr>
                <w:rFonts w:ascii="Times New Roman" w:hAnsi="Times New Roman" w:cs="Times New Roman"/>
                <w:color w:val="000000"/>
                <w:spacing w:val="-2"/>
              </w:rPr>
            </w:pPr>
            <w:r w:rsidRPr="009157D6">
              <w:rPr>
                <w:rFonts w:ascii="Times New Roman" w:hAnsi="Times New Roman" w:cs="Times New Roman"/>
                <w:color w:val="000000"/>
                <w:spacing w:val="-2"/>
              </w:rPr>
              <w:t>0</w:t>
            </w:r>
          </w:p>
        </w:tc>
      </w:tr>
      <w:tr w:rsidR="00DA6955" w:rsidRPr="009157D6" w14:paraId="3E0EB1DD" w14:textId="77777777" w:rsidTr="009B71B6">
        <w:trPr>
          <w:gridAfter w:val="1"/>
          <w:wAfter w:w="10" w:type="dxa"/>
          <w:trHeight w:val="142"/>
        </w:trPr>
        <w:tc>
          <w:tcPr>
            <w:tcW w:w="1596" w:type="dxa"/>
            <w:vMerge/>
            <w:shd w:val="clear" w:color="auto" w:fill="FFFFFF"/>
          </w:tcPr>
          <w:p w14:paraId="1EBFD623" w14:textId="77777777" w:rsidR="00DA6955" w:rsidRPr="009157D6" w:rsidRDefault="00DA6955" w:rsidP="009B71B6">
            <w:pPr>
              <w:spacing w:line="240" w:lineRule="auto"/>
              <w:rPr>
                <w:rFonts w:ascii="Times New Roman" w:hAnsi="Times New Roman" w:cs="Times New Roman"/>
                <w:color w:val="000000"/>
              </w:rPr>
            </w:pPr>
          </w:p>
        </w:tc>
        <w:tc>
          <w:tcPr>
            <w:tcW w:w="2293" w:type="dxa"/>
            <w:gridSpan w:val="6"/>
            <w:shd w:val="clear" w:color="auto" w:fill="FFFFFF"/>
          </w:tcPr>
          <w:p w14:paraId="4086CDA3"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rPr>
              <w:t>rodzina, obywatele oraz gospodarstwa domowe</w:t>
            </w:r>
          </w:p>
        </w:tc>
        <w:tc>
          <w:tcPr>
            <w:tcW w:w="937" w:type="dxa"/>
            <w:gridSpan w:val="3"/>
            <w:shd w:val="clear" w:color="auto" w:fill="FFFFFF"/>
          </w:tcPr>
          <w:p w14:paraId="0E8BC6A7"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8" w:type="dxa"/>
            <w:gridSpan w:val="4"/>
            <w:shd w:val="clear" w:color="auto" w:fill="FFFFFF"/>
          </w:tcPr>
          <w:p w14:paraId="23509F61"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8" w:type="dxa"/>
            <w:gridSpan w:val="4"/>
            <w:shd w:val="clear" w:color="auto" w:fill="FFFFFF"/>
          </w:tcPr>
          <w:p w14:paraId="66FF143E"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7" w:type="dxa"/>
            <w:gridSpan w:val="4"/>
            <w:shd w:val="clear" w:color="auto" w:fill="FFFFFF"/>
          </w:tcPr>
          <w:p w14:paraId="62B87DB7"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8" w:type="dxa"/>
            <w:gridSpan w:val="3"/>
            <w:shd w:val="clear" w:color="auto" w:fill="FFFFFF"/>
          </w:tcPr>
          <w:p w14:paraId="5ABBC499"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938" w:type="dxa"/>
            <w:gridSpan w:val="3"/>
            <w:shd w:val="clear" w:color="auto" w:fill="FFFFFF"/>
          </w:tcPr>
          <w:p w14:paraId="707209BB" w14:textId="77777777" w:rsidR="00DA6955" w:rsidRPr="009157D6" w:rsidRDefault="00DA6955" w:rsidP="009B71B6">
            <w:pPr>
              <w:spacing w:line="240" w:lineRule="auto"/>
              <w:rPr>
                <w:rFonts w:ascii="Times New Roman" w:hAnsi="Times New Roman" w:cs="Times New Roman"/>
                <w:color w:val="000000"/>
              </w:rPr>
            </w:pPr>
            <w:r w:rsidRPr="009157D6">
              <w:rPr>
                <w:rFonts w:ascii="Times New Roman" w:hAnsi="Times New Roman" w:cs="Times New Roman"/>
                <w:color w:val="000000"/>
              </w:rPr>
              <w:t>0</w:t>
            </w:r>
          </w:p>
        </w:tc>
        <w:tc>
          <w:tcPr>
            <w:tcW w:w="1422" w:type="dxa"/>
            <w:shd w:val="clear" w:color="auto" w:fill="FFFFFF"/>
          </w:tcPr>
          <w:p w14:paraId="61EC3734" w14:textId="77777777" w:rsidR="00DA6955" w:rsidRPr="009157D6" w:rsidRDefault="00DA6955" w:rsidP="009B71B6">
            <w:pPr>
              <w:spacing w:line="240" w:lineRule="auto"/>
              <w:rPr>
                <w:rFonts w:ascii="Times New Roman" w:hAnsi="Times New Roman" w:cs="Times New Roman"/>
                <w:color w:val="000000"/>
                <w:spacing w:val="-2"/>
              </w:rPr>
            </w:pPr>
            <w:r w:rsidRPr="009157D6">
              <w:rPr>
                <w:rFonts w:ascii="Times New Roman" w:hAnsi="Times New Roman" w:cs="Times New Roman"/>
                <w:color w:val="000000"/>
                <w:spacing w:val="-2"/>
              </w:rPr>
              <w:t>0</w:t>
            </w:r>
          </w:p>
        </w:tc>
      </w:tr>
      <w:tr w:rsidR="00DA6955" w:rsidRPr="009157D6" w14:paraId="545CCE0F" w14:textId="77777777" w:rsidTr="009B71B6">
        <w:trPr>
          <w:gridAfter w:val="1"/>
          <w:wAfter w:w="10" w:type="dxa"/>
          <w:trHeight w:val="142"/>
        </w:trPr>
        <w:tc>
          <w:tcPr>
            <w:tcW w:w="1596" w:type="dxa"/>
            <w:vMerge/>
            <w:shd w:val="clear" w:color="auto" w:fill="FFFFFF"/>
          </w:tcPr>
          <w:p w14:paraId="5BEDA708" w14:textId="77777777" w:rsidR="00DA6955" w:rsidRPr="009157D6" w:rsidRDefault="00DA6955" w:rsidP="009B71B6">
            <w:pPr>
              <w:spacing w:line="240" w:lineRule="auto"/>
              <w:rPr>
                <w:rFonts w:ascii="Times New Roman" w:hAnsi="Times New Roman" w:cs="Times New Roman"/>
                <w:color w:val="000000"/>
              </w:rPr>
            </w:pPr>
          </w:p>
        </w:tc>
        <w:tc>
          <w:tcPr>
            <w:tcW w:w="2293" w:type="dxa"/>
            <w:gridSpan w:val="6"/>
            <w:shd w:val="clear" w:color="auto" w:fill="FFFFFF"/>
          </w:tcPr>
          <w:p w14:paraId="472DB3D9" w14:textId="3CC2CB24" w:rsidR="00DA6955" w:rsidRPr="009157D6" w:rsidRDefault="00DA6955" w:rsidP="009B71B6">
            <w:pPr>
              <w:spacing w:line="240" w:lineRule="auto"/>
              <w:rPr>
                <w:rFonts w:ascii="Times New Roman" w:hAnsi="Times New Roman" w:cs="Times New Roman"/>
              </w:rPr>
            </w:pPr>
            <w:r w:rsidRPr="00DA6955">
              <w:rPr>
                <w:rFonts w:ascii="Times New Roman" w:hAnsi="Times New Roman" w:cs="Times New Roman"/>
              </w:rPr>
              <w:t>osoby niepełnosprawne oraz osoby starsze</w:t>
            </w:r>
          </w:p>
        </w:tc>
        <w:tc>
          <w:tcPr>
            <w:tcW w:w="937" w:type="dxa"/>
            <w:gridSpan w:val="3"/>
            <w:shd w:val="clear" w:color="auto" w:fill="FFFFFF"/>
          </w:tcPr>
          <w:p w14:paraId="3F5972C9" w14:textId="0CCC1746" w:rsidR="00DA6955" w:rsidRPr="009157D6" w:rsidRDefault="00DA6955" w:rsidP="009B71B6">
            <w:pPr>
              <w:spacing w:line="240" w:lineRule="auto"/>
              <w:rPr>
                <w:rFonts w:ascii="Times New Roman" w:hAnsi="Times New Roman" w:cs="Times New Roman"/>
                <w:color w:val="000000"/>
              </w:rPr>
            </w:pPr>
            <w:r>
              <w:rPr>
                <w:rFonts w:ascii="Times New Roman" w:hAnsi="Times New Roman" w:cs="Times New Roman"/>
                <w:color w:val="000000"/>
              </w:rPr>
              <w:t>0</w:t>
            </w:r>
          </w:p>
        </w:tc>
        <w:tc>
          <w:tcPr>
            <w:tcW w:w="938" w:type="dxa"/>
            <w:gridSpan w:val="4"/>
            <w:shd w:val="clear" w:color="auto" w:fill="FFFFFF"/>
          </w:tcPr>
          <w:p w14:paraId="65955286" w14:textId="71C55358" w:rsidR="00DA6955" w:rsidRPr="009157D6" w:rsidRDefault="00DA6955" w:rsidP="009B71B6">
            <w:pPr>
              <w:spacing w:line="240" w:lineRule="auto"/>
              <w:rPr>
                <w:rFonts w:ascii="Times New Roman" w:hAnsi="Times New Roman" w:cs="Times New Roman"/>
                <w:color w:val="000000"/>
              </w:rPr>
            </w:pPr>
            <w:r>
              <w:rPr>
                <w:rFonts w:ascii="Times New Roman" w:hAnsi="Times New Roman" w:cs="Times New Roman"/>
                <w:color w:val="000000"/>
              </w:rPr>
              <w:t>0</w:t>
            </w:r>
          </w:p>
        </w:tc>
        <w:tc>
          <w:tcPr>
            <w:tcW w:w="938" w:type="dxa"/>
            <w:gridSpan w:val="4"/>
            <w:shd w:val="clear" w:color="auto" w:fill="FFFFFF"/>
          </w:tcPr>
          <w:p w14:paraId="2C8BBFCA" w14:textId="6B52A378" w:rsidR="00DA6955" w:rsidRPr="009157D6" w:rsidRDefault="00DA6955" w:rsidP="009B71B6">
            <w:pPr>
              <w:spacing w:line="240" w:lineRule="auto"/>
              <w:rPr>
                <w:rFonts w:ascii="Times New Roman" w:hAnsi="Times New Roman" w:cs="Times New Roman"/>
                <w:color w:val="000000"/>
              </w:rPr>
            </w:pPr>
            <w:r>
              <w:rPr>
                <w:rFonts w:ascii="Times New Roman" w:hAnsi="Times New Roman" w:cs="Times New Roman"/>
                <w:color w:val="000000"/>
              </w:rPr>
              <w:t>0</w:t>
            </w:r>
          </w:p>
        </w:tc>
        <w:tc>
          <w:tcPr>
            <w:tcW w:w="937" w:type="dxa"/>
            <w:gridSpan w:val="4"/>
            <w:shd w:val="clear" w:color="auto" w:fill="FFFFFF"/>
          </w:tcPr>
          <w:p w14:paraId="08496B73" w14:textId="760D476D" w:rsidR="00DA6955" w:rsidRPr="009157D6" w:rsidRDefault="00DA6955" w:rsidP="009B71B6">
            <w:pPr>
              <w:spacing w:line="240" w:lineRule="auto"/>
              <w:rPr>
                <w:rFonts w:ascii="Times New Roman" w:hAnsi="Times New Roman" w:cs="Times New Roman"/>
                <w:color w:val="000000"/>
              </w:rPr>
            </w:pPr>
            <w:r>
              <w:rPr>
                <w:rFonts w:ascii="Times New Roman" w:hAnsi="Times New Roman" w:cs="Times New Roman"/>
                <w:color w:val="000000"/>
              </w:rPr>
              <w:t>0</w:t>
            </w:r>
          </w:p>
        </w:tc>
        <w:tc>
          <w:tcPr>
            <w:tcW w:w="938" w:type="dxa"/>
            <w:gridSpan w:val="3"/>
            <w:shd w:val="clear" w:color="auto" w:fill="FFFFFF"/>
          </w:tcPr>
          <w:p w14:paraId="03ABBDB3" w14:textId="687C4244" w:rsidR="00DA6955" w:rsidRPr="009157D6" w:rsidRDefault="00DA6955" w:rsidP="009B71B6">
            <w:pPr>
              <w:spacing w:line="240" w:lineRule="auto"/>
              <w:rPr>
                <w:rFonts w:ascii="Times New Roman" w:hAnsi="Times New Roman" w:cs="Times New Roman"/>
                <w:color w:val="000000"/>
              </w:rPr>
            </w:pPr>
            <w:r>
              <w:rPr>
                <w:rFonts w:ascii="Times New Roman" w:hAnsi="Times New Roman" w:cs="Times New Roman"/>
                <w:color w:val="000000"/>
              </w:rPr>
              <w:t>0</w:t>
            </w:r>
          </w:p>
        </w:tc>
        <w:tc>
          <w:tcPr>
            <w:tcW w:w="938" w:type="dxa"/>
            <w:gridSpan w:val="3"/>
            <w:shd w:val="clear" w:color="auto" w:fill="FFFFFF"/>
          </w:tcPr>
          <w:p w14:paraId="6E9921DD" w14:textId="21040EF7" w:rsidR="00DA6955" w:rsidRPr="009157D6" w:rsidRDefault="00DA6955" w:rsidP="009B71B6">
            <w:pPr>
              <w:spacing w:line="240" w:lineRule="auto"/>
              <w:rPr>
                <w:rFonts w:ascii="Times New Roman" w:hAnsi="Times New Roman" w:cs="Times New Roman"/>
                <w:color w:val="000000"/>
              </w:rPr>
            </w:pPr>
            <w:r>
              <w:rPr>
                <w:rFonts w:ascii="Times New Roman" w:hAnsi="Times New Roman" w:cs="Times New Roman"/>
                <w:color w:val="000000"/>
              </w:rPr>
              <w:t>0</w:t>
            </w:r>
          </w:p>
        </w:tc>
        <w:tc>
          <w:tcPr>
            <w:tcW w:w="1422" w:type="dxa"/>
            <w:shd w:val="clear" w:color="auto" w:fill="FFFFFF"/>
          </w:tcPr>
          <w:p w14:paraId="03B51114" w14:textId="49FEFEA3" w:rsidR="00DA6955" w:rsidRPr="009157D6" w:rsidRDefault="00DA6955" w:rsidP="009B71B6">
            <w:pPr>
              <w:spacing w:line="240" w:lineRule="auto"/>
              <w:rPr>
                <w:rFonts w:ascii="Times New Roman" w:hAnsi="Times New Roman" w:cs="Times New Roman"/>
                <w:color w:val="000000"/>
                <w:spacing w:val="-2"/>
              </w:rPr>
            </w:pPr>
            <w:r>
              <w:rPr>
                <w:rFonts w:ascii="Times New Roman" w:hAnsi="Times New Roman" w:cs="Times New Roman"/>
                <w:color w:val="000000"/>
                <w:spacing w:val="-2"/>
              </w:rPr>
              <w:t>0</w:t>
            </w:r>
          </w:p>
        </w:tc>
      </w:tr>
      <w:tr w:rsidR="00A52596" w:rsidRPr="009157D6" w14:paraId="4D748AD0" w14:textId="77777777" w:rsidTr="009B71B6">
        <w:trPr>
          <w:gridAfter w:val="1"/>
          <w:wAfter w:w="10" w:type="dxa"/>
          <w:trHeight w:val="142"/>
        </w:trPr>
        <w:tc>
          <w:tcPr>
            <w:tcW w:w="1596" w:type="dxa"/>
            <w:vMerge w:val="restart"/>
            <w:shd w:val="clear" w:color="auto" w:fill="FFFFFF"/>
          </w:tcPr>
          <w:p w14:paraId="54CA3B4F" w14:textId="77777777" w:rsidR="00A52596" w:rsidRPr="009157D6" w:rsidRDefault="00A52596" w:rsidP="009B71B6">
            <w:pPr>
              <w:spacing w:line="240" w:lineRule="auto"/>
              <w:rPr>
                <w:rFonts w:ascii="Times New Roman" w:hAnsi="Times New Roman" w:cs="Times New Roman"/>
                <w:color w:val="000000"/>
              </w:rPr>
            </w:pPr>
            <w:r w:rsidRPr="009157D6">
              <w:rPr>
                <w:rFonts w:ascii="Times New Roman" w:hAnsi="Times New Roman" w:cs="Times New Roman"/>
                <w:color w:val="000000"/>
              </w:rPr>
              <w:t>W ujęciu niepieniężnym</w:t>
            </w:r>
          </w:p>
        </w:tc>
        <w:tc>
          <w:tcPr>
            <w:tcW w:w="2293" w:type="dxa"/>
            <w:gridSpan w:val="6"/>
            <w:shd w:val="clear" w:color="auto" w:fill="FFFFFF"/>
          </w:tcPr>
          <w:p w14:paraId="6D521F3C" w14:textId="77777777" w:rsidR="00A52596" w:rsidRPr="009157D6" w:rsidRDefault="00A52596" w:rsidP="009B71B6">
            <w:pPr>
              <w:spacing w:line="240" w:lineRule="auto"/>
              <w:rPr>
                <w:rFonts w:ascii="Times New Roman" w:hAnsi="Times New Roman" w:cs="Times New Roman"/>
                <w:color w:val="000000"/>
              </w:rPr>
            </w:pPr>
            <w:r w:rsidRPr="009157D6">
              <w:rPr>
                <w:rFonts w:ascii="Times New Roman" w:hAnsi="Times New Roman" w:cs="Times New Roman"/>
                <w:color w:val="000000"/>
              </w:rPr>
              <w:t>duże przedsiębiorstwa</w:t>
            </w:r>
          </w:p>
        </w:tc>
        <w:tc>
          <w:tcPr>
            <w:tcW w:w="7048" w:type="dxa"/>
            <w:gridSpan w:val="22"/>
            <w:vMerge w:val="restart"/>
            <w:shd w:val="clear" w:color="auto" w:fill="auto"/>
          </w:tcPr>
          <w:p w14:paraId="315A951D" w14:textId="23D8623C" w:rsidR="00A52596" w:rsidRPr="0016384D" w:rsidRDefault="00A52596" w:rsidP="00893C8D">
            <w:pPr>
              <w:spacing w:line="240" w:lineRule="auto"/>
              <w:rPr>
                <w:rFonts w:ascii="Times New Roman" w:hAnsi="Times New Roman"/>
                <w:spacing w:val="-2"/>
              </w:rPr>
            </w:pPr>
            <w:r>
              <w:rPr>
                <w:rFonts w:ascii="Times New Roman" w:eastAsia="Calibri" w:hAnsi="Times New Roman" w:cs="Times New Roman"/>
              </w:rPr>
              <w:t>Projekt rozporządzenia</w:t>
            </w:r>
            <w:r w:rsidRPr="00322F94">
              <w:rPr>
                <w:rFonts w:ascii="Times New Roman" w:eastAsia="Calibri" w:hAnsi="Times New Roman" w:cs="Times New Roman"/>
              </w:rPr>
              <w:t xml:space="preserve"> ma charakter wtórny wobec rozwiązań przyjętych w ustawie</w:t>
            </w:r>
            <w:r>
              <w:rPr>
                <w:rFonts w:ascii="Times New Roman" w:eastAsia="Calibri" w:hAnsi="Times New Roman" w:cs="Times New Roman"/>
              </w:rPr>
              <w:t>.</w:t>
            </w:r>
            <w:r>
              <w:rPr>
                <w:rFonts w:ascii="Times New Roman" w:eastAsia="Calibri" w:hAnsi="Times New Roman" w:cs="Times New Roman"/>
                <w:color w:val="000000"/>
                <w:spacing w:val="-2"/>
              </w:rPr>
              <w:t xml:space="preserve"> Rozporządzenie </w:t>
            </w:r>
            <w:r w:rsidRPr="00FF3697">
              <w:rPr>
                <w:rFonts w:ascii="Times New Roman" w:eastAsia="Calibri" w:hAnsi="Times New Roman" w:cs="Times New Roman"/>
              </w:rPr>
              <w:t>wpłynie na poziom zmiennych opłat przesyłowych oraz dystrybucyjnych i w konsekwencji na zmianę obciążeń odbiorców końcowych z tego tytułu</w:t>
            </w:r>
            <w:r w:rsidRPr="00E10DA3">
              <w:rPr>
                <w:rFonts w:ascii="Times New Roman" w:eastAsia="Calibri" w:hAnsi="Times New Roman" w:cs="Times New Roman"/>
              </w:rPr>
              <w:t xml:space="preserve">. Wysokość stawki opłaty kogeneracyjnej w roku 2024 pozostaje na poziomie opłaty z roku 2023 i wyniesie 4,96 zł/MWh. </w:t>
            </w:r>
          </w:p>
          <w:p w14:paraId="02854353" w14:textId="29E05DF3" w:rsidR="00A52596" w:rsidRPr="009157D6" w:rsidRDefault="00A52596" w:rsidP="0016384D">
            <w:pPr>
              <w:spacing w:line="240" w:lineRule="auto"/>
              <w:jc w:val="both"/>
              <w:rPr>
                <w:rFonts w:ascii="Times New Roman" w:eastAsia="Calibri" w:hAnsi="Times New Roman" w:cs="Times New Roman"/>
                <w:color w:val="000000"/>
                <w:spacing w:val="-2"/>
              </w:rPr>
            </w:pPr>
            <w:r w:rsidRPr="00E10DA3">
              <w:rPr>
                <w:rFonts w:ascii="Times New Roman" w:eastAsia="Calibri" w:hAnsi="Times New Roman" w:cs="Times New Roman"/>
              </w:rPr>
              <w:t>Wzrost wysokości stawki opłaty kogeneracyjnej wprost wpływać będzie na rachunki odbiorców końcowych energii elektrycznej. Szacuje się, że średnie obciążenie roczne gospodarstwa domowego wyniesie ok. 14,90 zł na rok na gospodarstwo domowe.</w:t>
            </w:r>
            <w:r>
              <w:rPr>
                <w:rFonts w:ascii="Times New Roman" w:eastAsia="Calibri" w:hAnsi="Times New Roman" w:cs="Times New Roman"/>
              </w:rPr>
              <w:t xml:space="preserve"> </w:t>
            </w:r>
          </w:p>
        </w:tc>
      </w:tr>
      <w:tr w:rsidR="00A52596" w:rsidRPr="009157D6" w14:paraId="4C89E747" w14:textId="77777777" w:rsidTr="009B71B6">
        <w:trPr>
          <w:gridAfter w:val="1"/>
          <w:wAfter w:w="10" w:type="dxa"/>
          <w:trHeight w:val="142"/>
        </w:trPr>
        <w:tc>
          <w:tcPr>
            <w:tcW w:w="1596" w:type="dxa"/>
            <w:vMerge/>
            <w:shd w:val="clear" w:color="auto" w:fill="FFFFFF"/>
          </w:tcPr>
          <w:p w14:paraId="0AFE283B" w14:textId="77777777" w:rsidR="00A52596" w:rsidRPr="009157D6" w:rsidRDefault="00A52596" w:rsidP="009B71B6">
            <w:pPr>
              <w:spacing w:line="240" w:lineRule="auto"/>
              <w:rPr>
                <w:rFonts w:ascii="Times New Roman" w:hAnsi="Times New Roman" w:cs="Times New Roman"/>
                <w:color w:val="000000"/>
              </w:rPr>
            </w:pPr>
          </w:p>
        </w:tc>
        <w:tc>
          <w:tcPr>
            <w:tcW w:w="2293" w:type="dxa"/>
            <w:gridSpan w:val="6"/>
            <w:shd w:val="clear" w:color="auto" w:fill="FFFFFF"/>
          </w:tcPr>
          <w:p w14:paraId="535A21AB" w14:textId="77777777" w:rsidR="00A52596" w:rsidRPr="009157D6" w:rsidRDefault="00A52596" w:rsidP="009B71B6">
            <w:pPr>
              <w:spacing w:line="240" w:lineRule="auto"/>
              <w:rPr>
                <w:rFonts w:ascii="Times New Roman" w:hAnsi="Times New Roman" w:cs="Times New Roman"/>
                <w:color w:val="000000"/>
              </w:rPr>
            </w:pPr>
            <w:r w:rsidRPr="009157D6">
              <w:rPr>
                <w:rFonts w:ascii="Times New Roman" w:hAnsi="Times New Roman" w:cs="Times New Roman"/>
                <w:color w:val="000000"/>
              </w:rPr>
              <w:t>sektor mikro-, małych i średnich przedsiębiorstw</w:t>
            </w:r>
          </w:p>
        </w:tc>
        <w:tc>
          <w:tcPr>
            <w:tcW w:w="7048" w:type="dxa"/>
            <w:gridSpan w:val="22"/>
            <w:vMerge/>
            <w:shd w:val="clear" w:color="auto" w:fill="auto"/>
          </w:tcPr>
          <w:p w14:paraId="43CA8CD7" w14:textId="77777777" w:rsidR="00A52596" w:rsidRPr="009157D6" w:rsidRDefault="00A52596" w:rsidP="00FF3697">
            <w:pPr>
              <w:spacing w:line="240" w:lineRule="auto"/>
              <w:rPr>
                <w:rFonts w:ascii="Times New Roman" w:hAnsi="Times New Roman" w:cs="Times New Roman"/>
                <w:color w:val="000000"/>
                <w:spacing w:val="-2"/>
              </w:rPr>
            </w:pPr>
          </w:p>
        </w:tc>
      </w:tr>
      <w:tr w:rsidR="00A52596" w:rsidRPr="009157D6" w14:paraId="35010F6E" w14:textId="77777777" w:rsidTr="009B71B6">
        <w:trPr>
          <w:gridAfter w:val="1"/>
          <w:wAfter w:w="10" w:type="dxa"/>
          <w:trHeight w:val="596"/>
        </w:trPr>
        <w:tc>
          <w:tcPr>
            <w:tcW w:w="1596" w:type="dxa"/>
            <w:vMerge/>
            <w:shd w:val="clear" w:color="auto" w:fill="FFFFFF"/>
          </w:tcPr>
          <w:p w14:paraId="617A5A18" w14:textId="77777777" w:rsidR="00A52596" w:rsidRPr="009157D6" w:rsidRDefault="00A52596" w:rsidP="009B71B6">
            <w:pPr>
              <w:spacing w:line="240" w:lineRule="auto"/>
              <w:rPr>
                <w:rFonts w:ascii="Times New Roman" w:hAnsi="Times New Roman" w:cs="Times New Roman"/>
                <w:color w:val="000000"/>
              </w:rPr>
            </w:pPr>
          </w:p>
        </w:tc>
        <w:tc>
          <w:tcPr>
            <w:tcW w:w="2293" w:type="dxa"/>
            <w:gridSpan w:val="6"/>
            <w:shd w:val="clear" w:color="auto" w:fill="FFFFFF"/>
          </w:tcPr>
          <w:p w14:paraId="2DDF399D" w14:textId="00577BE5" w:rsidR="00A52596" w:rsidRPr="009157D6" w:rsidRDefault="00A52596" w:rsidP="00D52BA2">
            <w:pPr>
              <w:tabs>
                <w:tab w:val="right" w:pos="1936"/>
              </w:tabs>
              <w:spacing w:line="240" w:lineRule="auto"/>
              <w:rPr>
                <w:rFonts w:ascii="Times New Roman" w:hAnsi="Times New Roman" w:cs="Times New Roman"/>
                <w:color w:val="000000"/>
              </w:rPr>
            </w:pPr>
            <w:r w:rsidRPr="009157D6">
              <w:rPr>
                <w:rFonts w:ascii="Times New Roman" w:hAnsi="Times New Roman" w:cs="Times New Roman"/>
              </w:rPr>
              <w:t>rodzina, obywatele oraz gospodarstwa domowe</w:t>
            </w:r>
            <w:r w:rsidRPr="009157D6">
              <w:rPr>
                <w:rFonts w:ascii="Times New Roman" w:hAnsi="Times New Roman" w:cs="Times New Roman"/>
                <w:color w:val="000000"/>
              </w:rPr>
              <w:t xml:space="preserve"> </w:t>
            </w:r>
          </w:p>
        </w:tc>
        <w:tc>
          <w:tcPr>
            <w:tcW w:w="7048" w:type="dxa"/>
            <w:gridSpan w:val="22"/>
            <w:vMerge/>
            <w:shd w:val="clear" w:color="auto" w:fill="auto"/>
          </w:tcPr>
          <w:p w14:paraId="67B20F47" w14:textId="77777777" w:rsidR="00A52596" w:rsidRPr="009157D6" w:rsidRDefault="00A52596" w:rsidP="00FF3697">
            <w:pPr>
              <w:spacing w:line="240" w:lineRule="auto"/>
              <w:rPr>
                <w:rFonts w:ascii="Times New Roman" w:hAnsi="Times New Roman" w:cs="Times New Roman"/>
                <w:color w:val="000000"/>
                <w:spacing w:val="-2"/>
              </w:rPr>
            </w:pPr>
          </w:p>
        </w:tc>
      </w:tr>
      <w:tr w:rsidR="00A52596" w:rsidRPr="009157D6" w14:paraId="16ACDD36" w14:textId="77777777" w:rsidTr="009B71B6">
        <w:trPr>
          <w:gridAfter w:val="1"/>
          <w:wAfter w:w="10" w:type="dxa"/>
          <w:trHeight w:val="596"/>
        </w:trPr>
        <w:tc>
          <w:tcPr>
            <w:tcW w:w="1596" w:type="dxa"/>
            <w:vMerge/>
            <w:shd w:val="clear" w:color="auto" w:fill="FFFFFF"/>
          </w:tcPr>
          <w:p w14:paraId="071AD2DA" w14:textId="77777777" w:rsidR="00A52596" w:rsidRPr="009157D6" w:rsidRDefault="00A52596" w:rsidP="009B71B6">
            <w:pPr>
              <w:spacing w:line="240" w:lineRule="auto"/>
              <w:rPr>
                <w:rFonts w:ascii="Times New Roman" w:hAnsi="Times New Roman" w:cs="Times New Roman"/>
                <w:color w:val="000000"/>
              </w:rPr>
            </w:pPr>
          </w:p>
        </w:tc>
        <w:tc>
          <w:tcPr>
            <w:tcW w:w="2293" w:type="dxa"/>
            <w:gridSpan w:val="6"/>
            <w:shd w:val="clear" w:color="auto" w:fill="FFFFFF"/>
          </w:tcPr>
          <w:p w14:paraId="2B1798B7" w14:textId="319C8BC8" w:rsidR="00A52596" w:rsidRPr="009157D6" w:rsidRDefault="00A52596" w:rsidP="00D52BA2">
            <w:pPr>
              <w:tabs>
                <w:tab w:val="right" w:pos="1936"/>
              </w:tabs>
              <w:spacing w:line="240" w:lineRule="auto"/>
              <w:rPr>
                <w:rFonts w:ascii="Times New Roman" w:hAnsi="Times New Roman" w:cs="Times New Roman"/>
              </w:rPr>
            </w:pPr>
            <w:r w:rsidRPr="00DA6955">
              <w:rPr>
                <w:rFonts w:ascii="Times New Roman" w:hAnsi="Times New Roman" w:cs="Times New Roman"/>
              </w:rPr>
              <w:t>osoby niepełnosprawne oraz osoby starsze</w:t>
            </w:r>
          </w:p>
        </w:tc>
        <w:tc>
          <w:tcPr>
            <w:tcW w:w="7048" w:type="dxa"/>
            <w:gridSpan w:val="22"/>
            <w:shd w:val="clear" w:color="auto" w:fill="auto"/>
          </w:tcPr>
          <w:p w14:paraId="434A5BB4" w14:textId="0B7F3582" w:rsidR="00A52596" w:rsidRPr="009157D6" w:rsidRDefault="00A52596" w:rsidP="00FF3697">
            <w:pPr>
              <w:spacing w:line="240" w:lineRule="auto"/>
              <w:rPr>
                <w:rFonts w:ascii="Times New Roman" w:hAnsi="Times New Roman" w:cs="Times New Roman"/>
                <w:color w:val="000000"/>
                <w:spacing w:val="-2"/>
              </w:rPr>
            </w:pPr>
            <w:r w:rsidRPr="00DA6955">
              <w:rPr>
                <w:rFonts w:ascii="Times New Roman" w:hAnsi="Times New Roman" w:cs="Times New Roman"/>
                <w:color w:val="000000"/>
                <w:spacing w:val="-2"/>
              </w:rPr>
              <w:t xml:space="preserve">Wzrost wysokości stawki opłaty kogeneracyjnej wprost wpływać będzie na rachunki odbiorców końcowych energii elektrycznej. Szacuje się, że średnie </w:t>
            </w:r>
            <w:r w:rsidRPr="00DA6955">
              <w:rPr>
                <w:rFonts w:ascii="Times New Roman" w:hAnsi="Times New Roman" w:cs="Times New Roman"/>
                <w:color w:val="000000"/>
                <w:spacing w:val="-2"/>
              </w:rPr>
              <w:lastRenderedPageBreak/>
              <w:t>obciążenie roczne gospodarstwa domowego wyniesie ok. 14,90 zł na rok na gospodarstwo domowe</w:t>
            </w:r>
            <w:r>
              <w:rPr>
                <w:rFonts w:ascii="Times New Roman" w:hAnsi="Times New Roman" w:cs="Times New Roman"/>
                <w:color w:val="000000"/>
                <w:spacing w:val="-2"/>
              </w:rPr>
              <w:t>.</w:t>
            </w:r>
          </w:p>
        </w:tc>
      </w:tr>
      <w:tr w:rsidR="00C03E43" w:rsidRPr="009157D6" w14:paraId="1779A11E" w14:textId="77777777" w:rsidTr="00D57F13">
        <w:trPr>
          <w:gridAfter w:val="1"/>
          <w:wAfter w:w="10" w:type="dxa"/>
          <w:trHeight w:val="596"/>
        </w:trPr>
        <w:tc>
          <w:tcPr>
            <w:tcW w:w="3889" w:type="dxa"/>
            <w:gridSpan w:val="7"/>
            <w:shd w:val="clear" w:color="auto" w:fill="FFFFFF"/>
          </w:tcPr>
          <w:p w14:paraId="4A987046" w14:textId="70E9C58C" w:rsidR="00C03E43" w:rsidRPr="009157D6" w:rsidRDefault="00DA6955" w:rsidP="00D52BA2">
            <w:pPr>
              <w:tabs>
                <w:tab w:val="right" w:pos="1936"/>
              </w:tabs>
              <w:spacing w:line="240" w:lineRule="auto"/>
              <w:rPr>
                <w:rFonts w:ascii="Times New Roman" w:hAnsi="Times New Roman" w:cs="Times New Roman"/>
              </w:rPr>
            </w:pPr>
            <w:r w:rsidRPr="00DA6955">
              <w:rPr>
                <w:rFonts w:ascii="Times New Roman" w:hAnsi="Times New Roman" w:cs="Times New Roman"/>
              </w:rPr>
              <w:lastRenderedPageBreak/>
              <w:t xml:space="preserve">Niemierzalne </w:t>
            </w:r>
          </w:p>
        </w:tc>
        <w:tc>
          <w:tcPr>
            <w:tcW w:w="7048" w:type="dxa"/>
            <w:gridSpan w:val="22"/>
            <w:shd w:val="clear" w:color="auto" w:fill="auto"/>
          </w:tcPr>
          <w:p w14:paraId="5518120F" w14:textId="41483DFF" w:rsidR="00C03E43" w:rsidRPr="009157D6" w:rsidRDefault="00DA6955" w:rsidP="00FF3697">
            <w:pPr>
              <w:spacing w:line="240" w:lineRule="auto"/>
              <w:rPr>
                <w:rFonts w:ascii="Times New Roman" w:hAnsi="Times New Roman" w:cs="Times New Roman"/>
                <w:color w:val="000000"/>
                <w:spacing w:val="-2"/>
              </w:rPr>
            </w:pPr>
            <w:r w:rsidRPr="00B83EE7">
              <w:rPr>
                <w:rFonts w:ascii="Times New Roman" w:eastAsia="Calibri" w:hAnsi="Times New Roman" w:cs="Times New Roman"/>
              </w:rPr>
              <w:t xml:space="preserve">W przypadku przeniesienia przez podmioty </w:t>
            </w:r>
            <w:r>
              <w:rPr>
                <w:rFonts w:ascii="Times New Roman" w:eastAsia="Calibri" w:hAnsi="Times New Roman" w:cs="Times New Roman"/>
              </w:rPr>
              <w:t xml:space="preserve">dodatkowych </w:t>
            </w:r>
            <w:r w:rsidRPr="00B83EE7">
              <w:rPr>
                <w:rFonts w:ascii="Times New Roman" w:eastAsia="Calibri" w:hAnsi="Times New Roman" w:cs="Times New Roman"/>
              </w:rPr>
              <w:t>obciążeń</w:t>
            </w:r>
            <w:r>
              <w:rPr>
                <w:rFonts w:ascii="Times New Roman" w:eastAsia="Calibri" w:hAnsi="Times New Roman" w:cs="Times New Roman"/>
              </w:rPr>
              <w:t>,</w:t>
            </w:r>
            <w:r w:rsidRPr="00B83EE7">
              <w:rPr>
                <w:rFonts w:ascii="Times New Roman" w:eastAsia="Calibri" w:hAnsi="Times New Roman" w:cs="Times New Roman"/>
              </w:rPr>
              <w:t xml:space="preserve"> w zakresie </w:t>
            </w:r>
            <w:r>
              <w:rPr>
                <w:rFonts w:ascii="Times New Roman" w:eastAsia="Calibri" w:hAnsi="Times New Roman" w:cs="Times New Roman"/>
              </w:rPr>
              <w:t>stawki opłaty kogeneracyjnej na</w:t>
            </w:r>
            <w:r w:rsidRPr="00B83EE7">
              <w:rPr>
                <w:rFonts w:ascii="Times New Roman" w:eastAsia="Calibri" w:hAnsi="Times New Roman" w:cs="Times New Roman"/>
              </w:rPr>
              <w:t xml:space="preserve"> konsumentów</w:t>
            </w:r>
            <w:r>
              <w:rPr>
                <w:rFonts w:ascii="Times New Roman" w:eastAsia="Calibri" w:hAnsi="Times New Roman" w:cs="Times New Roman"/>
              </w:rPr>
              <w:t xml:space="preserve"> -</w:t>
            </w:r>
            <w:r w:rsidRPr="00B83EE7">
              <w:rPr>
                <w:rFonts w:ascii="Times New Roman" w:eastAsia="Calibri" w:hAnsi="Times New Roman" w:cs="Times New Roman"/>
              </w:rPr>
              <w:t xml:space="preserve"> w tym na osoby niepełnosprawne i starsze </w:t>
            </w:r>
            <w:r>
              <w:rPr>
                <w:rFonts w:ascii="Times New Roman" w:eastAsia="Calibri" w:hAnsi="Times New Roman" w:cs="Times New Roman"/>
              </w:rPr>
              <w:t xml:space="preserve">- </w:t>
            </w:r>
            <w:r w:rsidRPr="00B83EE7">
              <w:rPr>
                <w:rFonts w:ascii="Times New Roman" w:eastAsia="Calibri" w:hAnsi="Times New Roman" w:cs="Times New Roman"/>
              </w:rPr>
              <w:t xml:space="preserve">prawdopodobny jest </w:t>
            </w:r>
            <w:r>
              <w:rPr>
                <w:rFonts w:ascii="Times New Roman" w:eastAsia="Calibri" w:hAnsi="Times New Roman" w:cs="Times New Roman"/>
              </w:rPr>
              <w:t>nieznaczny</w:t>
            </w:r>
            <w:r w:rsidRPr="00B83EE7">
              <w:rPr>
                <w:rFonts w:ascii="Times New Roman" w:eastAsia="Calibri" w:hAnsi="Times New Roman" w:cs="Times New Roman"/>
              </w:rPr>
              <w:t xml:space="preserve"> wzrost cen </w:t>
            </w:r>
            <w:r>
              <w:rPr>
                <w:rFonts w:ascii="Times New Roman" w:eastAsia="Calibri" w:hAnsi="Times New Roman" w:cs="Times New Roman"/>
              </w:rPr>
              <w:t>towarów i usług</w:t>
            </w:r>
            <w:r w:rsidR="00A52596">
              <w:rPr>
                <w:rFonts w:ascii="Times New Roman" w:eastAsia="Calibri" w:hAnsi="Times New Roman" w:cs="Times New Roman"/>
              </w:rPr>
              <w:t>.</w:t>
            </w:r>
          </w:p>
        </w:tc>
      </w:tr>
      <w:tr w:rsidR="00C03E43" w:rsidRPr="009157D6" w14:paraId="05702897" w14:textId="77777777" w:rsidTr="00D57F13">
        <w:trPr>
          <w:gridAfter w:val="1"/>
          <w:wAfter w:w="10" w:type="dxa"/>
          <w:trHeight w:val="596"/>
        </w:trPr>
        <w:tc>
          <w:tcPr>
            <w:tcW w:w="3889" w:type="dxa"/>
            <w:gridSpan w:val="7"/>
            <w:shd w:val="clear" w:color="auto" w:fill="FFFFFF"/>
          </w:tcPr>
          <w:p w14:paraId="275B0E75" w14:textId="57BE0FF4" w:rsidR="00C03E43" w:rsidRPr="009157D6" w:rsidRDefault="00C03E43" w:rsidP="00D52BA2">
            <w:pPr>
              <w:tabs>
                <w:tab w:val="right" w:pos="1936"/>
              </w:tabs>
              <w:spacing w:line="240" w:lineRule="auto"/>
              <w:rPr>
                <w:rFonts w:ascii="Times New Roman" w:hAnsi="Times New Roman" w:cs="Times New Roman"/>
              </w:rPr>
            </w:pPr>
            <w:r w:rsidRPr="00C03E43">
              <w:rPr>
                <w:rFonts w:ascii="Times New Roman" w:hAnsi="Times New Roman" w:cs="Times New Roman"/>
                <w:color w:val="000000"/>
              </w:rPr>
              <w:t>Dodatkowe informacje, w tym wskazanie źródeł danych i przyjętych do obliczeń założeń</w:t>
            </w:r>
          </w:p>
        </w:tc>
        <w:tc>
          <w:tcPr>
            <w:tcW w:w="7048" w:type="dxa"/>
            <w:gridSpan w:val="22"/>
            <w:shd w:val="clear" w:color="auto" w:fill="auto"/>
          </w:tcPr>
          <w:p w14:paraId="6B465D24" w14:textId="4368EE21" w:rsidR="00C03E43" w:rsidRPr="009157D6" w:rsidRDefault="00C03E43" w:rsidP="00FF3697">
            <w:pPr>
              <w:spacing w:line="240" w:lineRule="auto"/>
              <w:rPr>
                <w:rFonts w:ascii="Times New Roman" w:hAnsi="Times New Roman" w:cs="Times New Roman"/>
                <w:color w:val="000000"/>
                <w:spacing w:val="-2"/>
              </w:rPr>
            </w:pPr>
            <w:r w:rsidRPr="00C03E43">
              <w:rPr>
                <w:rFonts w:ascii="Times New Roman" w:hAnsi="Times New Roman" w:cs="Times New Roman"/>
                <w:color w:val="000000"/>
                <w:spacing w:val="-2"/>
              </w:rPr>
              <w:t>Projektowana regulacja nie będzie miała wpływu na konkurencyjność gospodarki i przedsiębiorczość, w tym na funkcjonowanie przedsiębiorstw.</w:t>
            </w:r>
          </w:p>
        </w:tc>
      </w:tr>
      <w:tr w:rsidR="003C14DE" w:rsidRPr="009157D6" w14:paraId="63231721" w14:textId="77777777" w:rsidTr="009B71B6">
        <w:trPr>
          <w:gridAfter w:val="1"/>
          <w:wAfter w:w="10" w:type="dxa"/>
          <w:trHeight w:val="342"/>
        </w:trPr>
        <w:tc>
          <w:tcPr>
            <w:tcW w:w="10937" w:type="dxa"/>
            <w:gridSpan w:val="29"/>
            <w:shd w:val="clear" w:color="auto" w:fill="99CCFF"/>
            <w:vAlign w:val="center"/>
          </w:tcPr>
          <w:p w14:paraId="04B9B360" w14:textId="77777777" w:rsidR="003C14DE" w:rsidRPr="009157D6" w:rsidRDefault="003C14DE" w:rsidP="009B71B6">
            <w:pPr>
              <w:widowControl w:val="0"/>
              <w:numPr>
                <w:ilvl w:val="0"/>
                <w:numId w:val="1"/>
              </w:numPr>
              <w:autoSpaceDE w:val="0"/>
              <w:autoSpaceDN w:val="0"/>
              <w:adjustRightInd w:val="0"/>
              <w:spacing w:before="60" w:after="60" w:line="276" w:lineRule="auto"/>
              <w:ind w:left="318" w:hanging="284"/>
              <w:jc w:val="both"/>
              <w:rPr>
                <w:rFonts w:ascii="Times New Roman" w:hAnsi="Times New Roman" w:cs="Times New Roman"/>
                <w:b/>
                <w:color w:val="000000"/>
              </w:rPr>
            </w:pPr>
            <w:r w:rsidRPr="009157D6">
              <w:rPr>
                <w:rFonts w:ascii="Times New Roman" w:hAnsi="Times New Roman" w:cs="Times New Roman"/>
                <w:b/>
                <w:color w:val="000000"/>
              </w:rPr>
              <w:t xml:space="preserve"> </w:t>
            </w:r>
            <w:r w:rsidRPr="009157D6">
              <w:rPr>
                <w:rFonts w:ascii="Times New Roman" w:hAnsi="Times New Roman" w:cs="Times New Roman"/>
                <w:b/>
              </w:rPr>
              <w:t>Zmiana obciążeń regulacyjnych (w tym obowiązków informacyjnych) wynikających z projektu</w:t>
            </w:r>
          </w:p>
        </w:tc>
      </w:tr>
      <w:tr w:rsidR="003C14DE" w:rsidRPr="009157D6" w14:paraId="0063B59E" w14:textId="77777777" w:rsidTr="009B71B6">
        <w:trPr>
          <w:gridAfter w:val="1"/>
          <w:wAfter w:w="10" w:type="dxa"/>
          <w:trHeight w:val="151"/>
        </w:trPr>
        <w:tc>
          <w:tcPr>
            <w:tcW w:w="10937" w:type="dxa"/>
            <w:gridSpan w:val="29"/>
            <w:shd w:val="clear" w:color="auto" w:fill="FFFFFF"/>
          </w:tcPr>
          <w:p w14:paraId="543B421A"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fldChar w:fldCharType="begin">
                <w:ffData>
                  <w:name w:val=""/>
                  <w:enabled/>
                  <w:calcOnExit w:val="0"/>
                  <w:checkBox>
                    <w:sizeAuto/>
                    <w:default w:val="1"/>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w:t>
            </w:r>
            <w:r w:rsidRPr="009157D6">
              <w:rPr>
                <w:rFonts w:ascii="Times New Roman" w:hAnsi="Times New Roman" w:cs="Times New Roman"/>
                <w:color w:val="000000"/>
                <w:spacing w:val="-2"/>
              </w:rPr>
              <w:t>nie dotyczy</w:t>
            </w:r>
          </w:p>
        </w:tc>
      </w:tr>
      <w:tr w:rsidR="003C14DE" w:rsidRPr="009157D6" w14:paraId="39D0D4FE" w14:textId="77777777" w:rsidTr="009B71B6">
        <w:trPr>
          <w:gridAfter w:val="1"/>
          <w:wAfter w:w="10" w:type="dxa"/>
          <w:trHeight w:val="946"/>
        </w:trPr>
        <w:tc>
          <w:tcPr>
            <w:tcW w:w="5111" w:type="dxa"/>
            <w:gridSpan w:val="12"/>
            <w:shd w:val="clear" w:color="auto" w:fill="FFFFFF"/>
          </w:tcPr>
          <w:p w14:paraId="0C3B1D88" w14:textId="77777777" w:rsidR="003C14DE" w:rsidRPr="009157D6" w:rsidRDefault="003C14DE" w:rsidP="009B71B6">
            <w:pPr>
              <w:spacing w:line="276" w:lineRule="auto"/>
              <w:rPr>
                <w:rFonts w:ascii="Times New Roman" w:hAnsi="Times New Roman" w:cs="Times New Roman"/>
                <w:color w:val="000000"/>
                <w:spacing w:val="-2"/>
              </w:rPr>
            </w:pPr>
            <w:r w:rsidRPr="009157D6">
              <w:rPr>
                <w:rFonts w:ascii="Times New Roman" w:hAnsi="Times New Roman" w:cs="Times New Roman"/>
                <w:color w:val="000000"/>
                <w:spacing w:val="-2"/>
              </w:rPr>
              <w:t xml:space="preserve">Wprowadzane są obciążenia poza bezwzględnie wymaganymi przez UE </w:t>
            </w:r>
            <w:r w:rsidRPr="009157D6">
              <w:rPr>
                <w:rFonts w:ascii="Times New Roman" w:hAnsi="Times New Roman" w:cs="Times New Roman"/>
                <w:color w:val="000000"/>
              </w:rPr>
              <w:t>(szczegóły w odwróconej tabeli zgodności).</w:t>
            </w:r>
          </w:p>
        </w:tc>
        <w:tc>
          <w:tcPr>
            <w:tcW w:w="5826" w:type="dxa"/>
            <w:gridSpan w:val="17"/>
            <w:shd w:val="clear" w:color="auto" w:fill="FFFFFF"/>
          </w:tcPr>
          <w:p w14:paraId="52E8A78C"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fldChar w:fldCharType="begin">
                <w:ffData>
                  <w:name w:val=""/>
                  <w:enabled/>
                  <w:calcOnExit w:val="0"/>
                  <w:checkBox>
                    <w:sizeAuto/>
                    <w:default w:val="0"/>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tak</w:t>
            </w:r>
          </w:p>
          <w:p w14:paraId="42709678"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fldChar w:fldCharType="begin">
                <w:ffData>
                  <w:name w:val="Wybór1"/>
                  <w:enabled/>
                  <w:calcOnExit w:val="0"/>
                  <w:checkBox>
                    <w:sizeAuto/>
                    <w:default w:val="0"/>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nie</w:t>
            </w:r>
          </w:p>
          <w:p w14:paraId="7449445F" w14:textId="77777777" w:rsidR="003C14DE" w:rsidRPr="009157D6" w:rsidRDefault="003C14DE" w:rsidP="009B71B6">
            <w:pPr>
              <w:spacing w:line="276" w:lineRule="auto"/>
              <w:rPr>
                <w:rFonts w:ascii="Times New Roman" w:hAnsi="Times New Roman" w:cs="Times New Roman"/>
                <w:color w:val="000000"/>
              </w:rPr>
            </w:pPr>
            <w:r w:rsidRPr="009157D6">
              <w:rPr>
                <w:rFonts w:ascii="Times New Roman" w:hAnsi="Times New Roman" w:cs="Times New Roman"/>
                <w:color w:val="000000"/>
              </w:rPr>
              <w:fldChar w:fldCharType="begin">
                <w:ffData>
                  <w:name w:val=""/>
                  <w:enabled/>
                  <w:calcOnExit w:val="0"/>
                  <w:checkBox>
                    <w:sizeAuto/>
                    <w:default w:val="1"/>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nie dotyczy</w:t>
            </w:r>
          </w:p>
        </w:tc>
      </w:tr>
      <w:tr w:rsidR="003C14DE" w:rsidRPr="009157D6" w14:paraId="27C1BA9E" w14:textId="77777777" w:rsidTr="009B71B6">
        <w:trPr>
          <w:gridAfter w:val="1"/>
          <w:wAfter w:w="10" w:type="dxa"/>
          <w:trHeight w:val="1245"/>
        </w:trPr>
        <w:tc>
          <w:tcPr>
            <w:tcW w:w="5111" w:type="dxa"/>
            <w:gridSpan w:val="12"/>
            <w:shd w:val="clear" w:color="auto" w:fill="FFFFFF"/>
          </w:tcPr>
          <w:p w14:paraId="1B87DE15" w14:textId="77777777" w:rsidR="003C14DE" w:rsidRPr="009157D6" w:rsidRDefault="003C14DE" w:rsidP="009B71B6">
            <w:pPr>
              <w:spacing w:line="240" w:lineRule="auto"/>
              <w:rPr>
                <w:rFonts w:ascii="Times New Roman" w:hAnsi="Times New Roman" w:cs="Times New Roman"/>
                <w:color w:val="000000"/>
                <w:spacing w:val="-2"/>
              </w:rPr>
            </w:pPr>
            <w:r w:rsidRPr="009157D6">
              <w:rPr>
                <w:rFonts w:ascii="Times New Roman" w:hAnsi="Times New Roman" w:cs="Times New Roman"/>
                <w:color w:val="000000"/>
              </w:rPr>
              <w:fldChar w:fldCharType="begin">
                <w:ffData>
                  <w:name w:val="Wybór1"/>
                  <w:enabled/>
                  <w:calcOnExit w:val="0"/>
                  <w:checkBox>
                    <w:sizeAuto/>
                    <w:default w:val="0"/>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w:t>
            </w:r>
            <w:r w:rsidRPr="009157D6">
              <w:rPr>
                <w:rFonts w:ascii="Times New Roman" w:hAnsi="Times New Roman" w:cs="Times New Roman"/>
                <w:color w:val="000000"/>
                <w:spacing w:val="-2"/>
              </w:rPr>
              <w:t xml:space="preserve">zmniejszenie liczby dokumentów </w:t>
            </w:r>
          </w:p>
          <w:p w14:paraId="465F7BE2" w14:textId="77777777" w:rsidR="003C14DE" w:rsidRPr="009157D6" w:rsidRDefault="003C14DE" w:rsidP="009B71B6">
            <w:pPr>
              <w:spacing w:line="240" w:lineRule="auto"/>
              <w:rPr>
                <w:rFonts w:ascii="Times New Roman" w:hAnsi="Times New Roman" w:cs="Times New Roman"/>
                <w:color w:val="000000"/>
                <w:spacing w:val="-2"/>
              </w:rPr>
            </w:pPr>
            <w:r w:rsidRPr="009157D6">
              <w:rPr>
                <w:rFonts w:ascii="Times New Roman" w:hAnsi="Times New Roman" w:cs="Times New Roman"/>
                <w:color w:val="000000"/>
              </w:rPr>
              <w:fldChar w:fldCharType="begin">
                <w:ffData>
                  <w:name w:val="Wybór1"/>
                  <w:enabled/>
                  <w:calcOnExit w:val="0"/>
                  <w:checkBox>
                    <w:sizeAuto/>
                    <w:default w:val="0"/>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w:t>
            </w:r>
            <w:r w:rsidRPr="009157D6">
              <w:rPr>
                <w:rFonts w:ascii="Times New Roman" w:hAnsi="Times New Roman" w:cs="Times New Roman"/>
                <w:color w:val="000000"/>
                <w:spacing w:val="-2"/>
              </w:rPr>
              <w:t>zmniejszenie liczby procedur</w:t>
            </w:r>
          </w:p>
          <w:p w14:paraId="5820660A" w14:textId="77777777" w:rsidR="003C14DE" w:rsidRPr="009157D6" w:rsidRDefault="003C14DE" w:rsidP="009B71B6">
            <w:pPr>
              <w:spacing w:line="240" w:lineRule="auto"/>
              <w:rPr>
                <w:rFonts w:ascii="Times New Roman" w:hAnsi="Times New Roman" w:cs="Times New Roman"/>
                <w:color w:val="000000"/>
                <w:spacing w:val="-2"/>
              </w:rPr>
            </w:pPr>
            <w:r w:rsidRPr="009157D6">
              <w:rPr>
                <w:rFonts w:ascii="Times New Roman" w:hAnsi="Times New Roman" w:cs="Times New Roman"/>
                <w:color w:val="000000"/>
              </w:rPr>
              <w:fldChar w:fldCharType="begin">
                <w:ffData>
                  <w:name w:val=""/>
                  <w:enabled/>
                  <w:calcOnExit w:val="0"/>
                  <w:checkBox>
                    <w:sizeAuto/>
                    <w:default w:val="0"/>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w:t>
            </w:r>
            <w:r w:rsidRPr="009157D6">
              <w:rPr>
                <w:rFonts w:ascii="Times New Roman" w:hAnsi="Times New Roman" w:cs="Times New Roman"/>
                <w:color w:val="000000"/>
                <w:spacing w:val="-2"/>
              </w:rPr>
              <w:t>skrócenie czasu na załatwienie sprawy</w:t>
            </w:r>
          </w:p>
          <w:p w14:paraId="6DF77EC6" w14:textId="77777777" w:rsidR="003C14DE" w:rsidRPr="009157D6" w:rsidRDefault="003C14DE" w:rsidP="009B71B6">
            <w:pPr>
              <w:spacing w:line="276" w:lineRule="auto"/>
              <w:rPr>
                <w:rFonts w:ascii="Times New Roman" w:hAnsi="Times New Roman" w:cs="Times New Roman"/>
                <w:b/>
                <w:color w:val="000000"/>
                <w:spacing w:val="-2"/>
              </w:rPr>
            </w:pPr>
            <w:r w:rsidRPr="009157D6">
              <w:rPr>
                <w:rFonts w:ascii="Times New Roman" w:hAnsi="Times New Roman" w:cs="Times New Roman"/>
                <w:color w:val="000000"/>
              </w:rPr>
              <w:fldChar w:fldCharType="begin">
                <w:ffData>
                  <w:name w:val="Wybór1"/>
                  <w:enabled/>
                  <w:calcOnExit w:val="0"/>
                  <w:checkBox>
                    <w:sizeAuto/>
                    <w:default w:val="0"/>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w:t>
            </w:r>
            <w:r w:rsidRPr="009157D6">
              <w:rPr>
                <w:rFonts w:ascii="Times New Roman" w:hAnsi="Times New Roman" w:cs="Times New Roman"/>
                <w:color w:val="000000"/>
                <w:spacing w:val="-2"/>
              </w:rPr>
              <w:t>inne:</w:t>
            </w:r>
            <w:r w:rsidRPr="009157D6">
              <w:rPr>
                <w:rFonts w:ascii="Times New Roman" w:hAnsi="Times New Roman" w:cs="Times New Roman"/>
                <w:color w:val="000000"/>
              </w:rPr>
              <w:t xml:space="preserve"> </w:t>
            </w:r>
            <w:r w:rsidRPr="009157D6">
              <w:rPr>
                <w:rFonts w:ascii="Times New Roman" w:hAnsi="Times New Roman" w:cs="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9157D6">
              <w:rPr>
                <w:rFonts w:ascii="Times New Roman" w:hAnsi="Times New Roman" w:cs="Times New Roman"/>
                <w:color w:val="000000"/>
              </w:rPr>
              <w:instrText xml:space="preserve"> FORMTEXT </w:instrText>
            </w:r>
            <w:r w:rsidRPr="009157D6">
              <w:rPr>
                <w:rFonts w:ascii="Times New Roman" w:hAnsi="Times New Roman" w:cs="Times New Roman"/>
                <w:color w:val="000000"/>
              </w:rPr>
            </w:r>
            <w:r w:rsidRPr="009157D6">
              <w:rPr>
                <w:rFonts w:ascii="Times New Roman" w:hAnsi="Times New Roman" w:cs="Times New Roman"/>
                <w:color w:val="000000"/>
              </w:rPr>
              <w:fldChar w:fldCharType="separate"/>
            </w:r>
            <w:r w:rsidRPr="009157D6">
              <w:rPr>
                <w:rFonts w:ascii="Times New Roman" w:hAnsi="Times New Roman" w:cs="Times New Roman"/>
                <w:noProof/>
                <w:color w:val="000000"/>
              </w:rPr>
              <w:t> </w:t>
            </w:r>
            <w:r w:rsidRPr="009157D6">
              <w:rPr>
                <w:rFonts w:ascii="Times New Roman" w:hAnsi="Times New Roman" w:cs="Times New Roman"/>
                <w:noProof/>
                <w:color w:val="000000"/>
              </w:rPr>
              <w:t> </w:t>
            </w:r>
            <w:r w:rsidRPr="009157D6">
              <w:rPr>
                <w:rFonts w:ascii="Times New Roman" w:hAnsi="Times New Roman" w:cs="Times New Roman"/>
                <w:noProof/>
                <w:color w:val="000000"/>
              </w:rPr>
              <w:t> </w:t>
            </w:r>
            <w:r w:rsidRPr="009157D6">
              <w:rPr>
                <w:rFonts w:ascii="Times New Roman" w:hAnsi="Times New Roman" w:cs="Times New Roman"/>
                <w:noProof/>
                <w:color w:val="000000"/>
              </w:rPr>
              <w:t> </w:t>
            </w:r>
            <w:r w:rsidRPr="009157D6">
              <w:rPr>
                <w:rFonts w:ascii="Times New Roman" w:hAnsi="Times New Roman" w:cs="Times New Roman"/>
                <w:noProof/>
                <w:color w:val="000000"/>
              </w:rPr>
              <w:t> </w:t>
            </w:r>
            <w:r w:rsidRPr="009157D6">
              <w:rPr>
                <w:rFonts w:ascii="Times New Roman" w:hAnsi="Times New Roman" w:cs="Times New Roman"/>
                <w:color w:val="000000"/>
              </w:rPr>
              <w:fldChar w:fldCharType="end"/>
            </w:r>
          </w:p>
        </w:tc>
        <w:tc>
          <w:tcPr>
            <w:tcW w:w="5826" w:type="dxa"/>
            <w:gridSpan w:val="17"/>
            <w:shd w:val="clear" w:color="auto" w:fill="FFFFFF"/>
          </w:tcPr>
          <w:p w14:paraId="4AC75668" w14:textId="77777777" w:rsidR="003C14DE" w:rsidRPr="009157D6" w:rsidRDefault="003C14DE" w:rsidP="009B71B6">
            <w:pPr>
              <w:spacing w:line="240" w:lineRule="auto"/>
              <w:rPr>
                <w:rFonts w:ascii="Times New Roman" w:hAnsi="Times New Roman" w:cs="Times New Roman"/>
                <w:color w:val="000000"/>
                <w:spacing w:val="-2"/>
              </w:rPr>
            </w:pPr>
            <w:r w:rsidRPr="009157D6">
              <w:rPr>
                <w:rFonts w:ascii="Times New Roman" w:hAnsi="Times New Roman" w:cs="Times New Roman"/>
                <w:color w:val="000000"/>
              </w:rPr>
              <w:fldChar w:fldCharType="begin">
                <w:ffData>
                  <w:name w:val="Wybór1"/>
                  <w:enabled/>
                  <w:calcOnExit w:val="0"/>
                  <w:checkBox>
                    <w:sizeAuto/>
                    <w:default w:val="0"/>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w:t>
            </w:r>
            <w:r w:rsidRPr="009157D6">
              <w:rPr>
                <w:rFonts w:ascii="Times New Roman" w:hAnsi="Times New Roman" w:cs="Times New Roman"/>
                <w:color w:val="000000"/>
                <w:spacing w:val="-2"/>
              </w:rPr>
              <w:t>zwiększenie liczby dokumentów</w:t>
            </w:r>
          </w:p>
          <w:p w14:paraId="5C4AC3F3" w14:textId="77777777" w:rsidR="003C14DE" w:rsidRPr="009157D6" w:rsidRDefault="003C14DE" w:rsidP="009B71B6">
            <w:pPr>
              <w:spacing w:line="240" w:lineRule="auto"/>
              <w:rPr>
                <w:rFonts w:ascii="Times New Roman" w:hAnsi="Times New Roman" w:cs="Times New Roman"/>
                <w:color w:val="000000"/>
                <w:spacing w:val="-2"/>
              </w:rPr>
            </w:pPr>
            <w:r w:rsidRPr="009157D6">
              <w:rPr>
                <w:rFonts w:ascii="Times New Roman" w:hAnsi="Times New Roman" w:cs="Times New Roman"/>
                <w:color w:val="000000"/>
              </w:rPr>
              <w:fldChar w:fldCharType="begin">
                <w:ffData>
                  <w:name w:val="Wybór1"/>
                  <w:enabled/>
                  <w:calcOnExit w:val="0"/>
                  <w:checkBox>
                    <w:sizeAuto/>
                    <w:default w:val="0"/>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w:t>
            </w:r>
            <w:r w:rsidRPr="009157D6">
              <w:rPr>
                <w:rFonts w:ascii="Times New Roman" w:hAnsi="Times New Roman" w:cs="Times New Roman"/>
                <w:color w:val="000000"/>
                <w:spacing w:val="-2"/>
              </w:rPr>
              <w:t>zwiększenie liczby procedur</w:t>
            </w:r>
          </w:p>
          <w:p w14:paraId="3B4C17E5" w14:textId="77777777" w:rsidR="003C14DE" w:rsidRPr="009157D6" w:rsidRDefault="003C14DE" w:rsidP="009B71B6">
            <w:pPr>
              <w:spacing w:line="240" w:lineRule="auto"/>
              <w:rPr>
                <w:rFonts w:ascii="Times New Roman" w:hAnsi="Times New Roman" w:cs="Times New Roman"/>
                <w:color w:val="000000"/>
                <w:spacing w:val="-2"/>
              </w:rPr>
            </w:pPr>
            <w:r w:rsidRPr="009157D6">
              <w:rPr>
                <w:rFonts w:ascii="Times New Roman" w:hAnsi="Times New Roman" w:cs="Times New Roman"/>
                <w:color w:val="000000"/>
              </w:rPr>
              <w:fldChar w:fldCharType="begin">
                <w:ffData>
                  <w:name w:val="Wybór1"/>
                  <w:enabled/>
                  <w:calcOnExit w:val="0"/>
                  <w:checkBox>
                    <w:sizeAuto/>
                    <w:default w:val="0"/>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w:t>
            </w:r>
            <w:r w:rsidRPr="009157D6">
              <w:rPr>
                <w:rFonts w:ascii="Times New Roman" w:hAnsi="Times New Roman" w:cs="Times New Roman"/>
                <w:color w:val="000000"/>
                <w:spacing w:val="-2"/>
              </w:rPr>
              <w:t>wydłużenie czasu na załatwienie sprawy</w:t>
            </w:r>
          </w:p>
          <w:p w14:paraId="713D8521"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fldChar w:fldCharType="begin">
                <w:ffData>
                  <w:name w:val="Wybór1"/>
                  <w:enabled/>
                  <w:calcOnExit w:val="0"/>
                  <w:checkBox>
                    <w:sizeAuto/>
                    <w:default w:val="0"/>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w:t>
            </w:r>
            <w:r w:rsidRPr="009157D6">
              <w:rPr>
                <w:rFonts w:ascii="Times New Roman" w:hAnsi="Times New Roman" w:cs="Times New Roman"/>
                <w:color w:val="000000"/>
                <w:spacing w:val="-2"/>
              </w:rPr>
              <w:t>inne:</w:t>
            </w:r>
            <w:r w:rsidRPr="009157D6">
              <w:rPr>
                <w:rFonts w:ascii="Times New Roman" w:hAnsi="Times New Roman" w:cs="Times New Roman"/>
                <w:color w:val="000000"/>
              </w:rPr>
              <w:t xml:space="preserve"> </w:t>
            </w:r>
            <w:r w:rsidRPr="009157D6">
              <w:rPr>
                <w:rFonts w:ascii="Times New Roman" w:hAnsi="Times New Roman" w:cs="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9157D6">
              <w:rPr>
                <w:rFonts w:ascii="Times New Roman" w:hAnsi="Times New Roman" w:cs="Times New Roman"/>
                <w:color w:val="000000"/>
              </w:rPr>
              <w:instrText xml:space="preserve"> FORMTEXT </w:instrText>
            </w:r>
            <w:r w:rsidRPr="009157D6">
              <w:rPr>
                <w:rFonts w:ascii="Times New Roman" w:hAnsi="Times New Roman" w:cs="Times New Roman"/>
                <w:color w:val="000000"/>
              </w:rPr>
            </w:r>
            <w:r w:rsidRPr="009157D6">
              <w:rPr>
                <w:rFonts w:ascii="Times New Roman" w:hAnsi="Times New Roman" w:cs="Times New Roman"/>
                <w:color w:val="000000"/>
              </w:rPr>
              <w:fldChar w:fldCharType="separate"/>
            </w:r>
            <w:r w:rsidRPr="009157D6">
              <w:rPr>
                <w:rFonts w:ascii="Times New Roman" w:hAnsi="Times New Roman" w:cs="Times New Roman"/>
                <w:noProof/>
                <w:color w:val="000000"/>
              </w:rPr>
              <w:t> </w:t>
            </w:r>
            <w:r w:rsidRPr="009157D6">
              <w:rPr>
                <w:rFonts w:ascii="Times New Roman" w:hAnsi="Times New Roman" w:cs="Times New Roman"/>
                <w:noProof/>
                <w:color w:val="000000"/>
              </w:rPr>
              <w:t> </w:t>
            </w:r>
            <w:r w:rsidRPr="009157D6">
              <w:rPr>
                <w:rFonts w:ascii="Times New Roman" w:hAnsi="Times New Roman" w:cs="Times New Roman"/>
                <w:noProof/>
                <w:color w:val="000000"/>
              </w:rPr>
              <w:t> </w:t>
            </w:r>
            <w:r w:rsidRPr="009157D6">
              <w:rPr>
                <w:rFonts w:ascii="Times New Roman" w:hAnsi="Times New Roman" w:cs="Times New Roman"/>
                <w:noProof/>
                <w:color w:val="000000"/>
              </w:rPr>
              <w:t> </w:t>
            </w:r>
            <w:r w:rsidRPr="009157D6">
              <w:rPr>
                <w:rFonts w:ascii="Times New Roman" w:hAnsi="Times New Roman" w:cs="Times New Roman"/>
                <w:noProof/>
                <w:color w:val="000000"/>
              </w:rPr>
              <w:t> </w:t>
            </w:r>
            <w:r w:rsidRPr="009157D6">
              <w:rPr>
                <w:rFonts w:ascii="Times New Roman" w:hAnsi="Times New Roman" w:cs="Times New Roman"/>
                <w:color w:val="000000"/>
              </w:rPr>
              <w:fldChar w:fldCharType="end"/>
            </w:r>
          </w:p>
          <w:p w14:paraId="60293421" w14:textId="77777777" w:rsidR="003C14DE" w:rsidRPr="009157D6" w:rsidRDefault="003C14DE" w:rsidP="009B71B6">
            <w:pPr>
              <w:spacing w:line="240" w:lineRule="auto"/>
              <w:rPr>
                <w:rFonts w:ascii="Times New Roman" w:hAnsi="Times New Roman" w:cs="Times New Roman"/>
                <w:color w:val="000000"/>
              </w:rPr>
            </w:pPr>
          </w:p>
        </w:tc>
      </w:tr>
      <w:tr w:rsidR="003C14DE" w:rsidRPr="009157D6" w14:paraId="71698A31" w14:textId="77777777" w:rsidTr="009B71B6">
        <w:trPr>
          <w:gridAfter w:val="1"/>
          <w:wAfter w:w="10" w:type="dxa"/>
          <w:trHeight w:val="870"/>
        </w:trPr>
        <w:tc>
          <w:tcPr>
            <w:tcW w:w="5111" w:type="dxa"/>
            <w:gridSpan w:val="12"/>
            <w:shd w:val="clear" w:color="auto" w:fill="FFFFFF"/>
          </w:tcPr>
          <w:p w14:paraId="4E211710"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spacing w:val="-2"/>
              </w:rPr>
              <w:t xml:space="preserve">Wprowadzane obciążenia są przystosowane do ich elektronizacji. </w:t>
            </w:r>
          </w:p>
        </w:tc>
        <w:tc>
          <w:tcPr>
            <w:tcW w:w="5826" w:type="dxa"/>
            <w:gridSpan w:val="17"/>
            <w:shd w:val="clear" w:color="auto" w:fill="FFFFFF"/>
          </w:tcPr>
          <w:p w14:paraId="667EAE95"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fldChar w:fldCharType="begin">
                <w:ffData>
                  <w:name w:val=""/>
                  <w:enabled/>
                  <w:calcOnExit w:val="0"/>
                  <w:checkBox>
                    <w:sizeAuto/>
                    <w:default w:val="0"/>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tak</w:t>
            </w:r>
          </w:p>
          <w:p w14:paraId="24FC67F1"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fldChar w:fldCharType="begin">
                <w:ffData>
                  <w:name w:val="Wybór1"/>
                  <w:enabled/>
                  <w:calcOnExit w:val="0"/>
                  <w:checkBox>
                    <w:sizeAuto/>
                    <w:default w:val="0"/>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nie</w:t>
            </w:r>
          </w:p>
          <w:p w14:paraId="022C4BEA"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fldChar w:fldCharType="begin">
                <w:ffData>
                  <w:name w:val=""/>
                  <w:enabled/>
                  <w:calcOnExit w:val="0"/>
                  <w:checkBox>
                    <w:sizeAuto/>
                    <w:default w:val="1"/>
                  </w:checkBox>
                </w:ffData>
              </w:fldChar>
            </w:r>
            <w:r w:rsidRPr="009157D6">
              <w:rPr>
                <w:rFonts w:ascii="Times New Roman" w:hAnsi="Times New Roman" w:cs="Times New Roman"/>
                <w:color w:val="000000"/>
              </w:rPr>
              <w:instrText xml:space="preserve"> FORMCHECKBOX </w:instrText>
            </w:r>
            <w:r w:rsidR="00000000">
              <w:rPr>
                <w:rFonts w:ascii="Times New Roman" w:hAnsi="Times New Roman" w:cs="Times New Roman"/>
                <w:color w:val="000000"/>
              </w:rPr>
            </w:r>
            <w:r w:rsidR="00000000">
              <w:rPr>
                <w:rFonts w:ascii="Times New Roman" w:hAnsi="Times New Roman" w:cs="Times New Roman"/>
                <w:color w:val="000000"/>
              </w:rPr>
              <w:fldChar w:fldCharType="separate"/>
            </w:r>
            <w:r w:rsidRPr="009157D6">
              <w:rPr>
                <w:rFonts w:ascii="Times New Roman" w:hAnsi="Times New Roman" w:cs="Times New Roman"/>
                <w:color w:val="000000"/>
              </w:rPr>
              <w:fldChar w:fldCharType="end"/>
            </w:r>
            <w:r w:rsidRPr="009157D6">
              <w:rPr>
                <w:rFonts w:ascii="Times New Roman" w:hAnsi="Times New Roman" w:cs="Times New Roman"/>
                <w:color w:val="000000"/>
              </w:rPr>
              <w:t xml:space="preserve"> nie dotyczy</w:t>
            </w:r>
          </w:p>
          <w:p w14:paraId="78690ECB" w14:textId="77777777" w:rsidR="003C14DE" w:rsidRPr="009157D6" w:rsidRDefault="003C14DE" w:rsidP="009B71B6">
            <w:pPr>
              <w:spacing w:line="240" w:lineRule="auto"/>
              <w:rPr>
                <w:rFonts w:ascii="Times New Roman" w:hAnsi="Times New Roman" w:cs="Times New Roman"/>
                <w:color w:val="000000"/>
              </w:rPr>
            </w:pPr>
          </w:p>
        </w:tc>
      </w:tr>
      <w:tr w:rsidR="003C14DE" w:rsidRPr="009157D6" w14:paraId="5F9CF403" w14:textId="77777777" w:rsidTr="00035C5F">
        <w:trPr>
          <w:gridAfter w:val="1"/>
          <w:wAfter w:w="10" w:type="dxa"/>
          <w:trHeight w:val="392"/>
        </w:trPr>
        <w:tc>
          <w:tcPr>
            <w:tcW w:w="10937" w:type="dxa"/>
            <w:gridSpan w:val="29"/>
            <w:shd w:val="clear" w:color="auto" w:fill="FFFFFF"/>
          </w:tcPr>
          <w:p w14:paraId="78E761B9" w14:textId="77777777" w:rsidR="003C14DE" w:rsidRPr="00970861" w:rsidRDefault="003C14DE" w:rsidP="009B71B6">
            <w:pPr>
              <w:spacing w:line="240" w:lineRule="auto"/>
              <w:jc w:val="both"/>
              <w:rPr>
                <w:rFonts w:ascii="Times New Roman" w:hAnsi="Times New Roman" w:cs="Times New Roman"/>
              </w:rPr>
            </w:pPr>
            <w:r w:rsidRPr="00970861">
              <w:rPr>
                <w:rFonts w:ascii="Times New Roman" w:hAnsi="Times New Roman" w:cs="Times New Roman"/>
                <w:color w:val="000000"/>
              </w:rPr>
              <w:t>Komentarz:</w:t>
            </w:r>
            <w:r>
              <w:rPr>
                <w:rFonts w:ascii="Times New Roman" w:hAnsi="Times New Roman" w:cs="Times New Roman"/>
              </w:rPr>
              <w:t xml:space="preserve"> brak</w:t>
            </w:r>
          </w:p>
        </w:tc>
      </w:tr>
      <w:tr w:rsidR="003C14DE" w:rsidRPr="009157D6" w14:paraId="668A2DAF" w14:textId="77777777" w:rsidTr="009B71B6">
        <w:trPr>
          <w:gridAfter w:val="1"/>
          <w:wAfter w:w="10" w:type="dxa"/>
          <w:trHeight w:val="142"/>
        </w:trPr>
        <w:tc>
          <w:tcPr>
            <w:tcW w:w="10937" w:type="dxa"/>
            <w:gridSpan w:val="29"/>
            <w:shd w:val="clear" w:color="auto" w:fill="99CCFF"/>
          </w:tcPr>
          <w:p w14:paraId="2349F008" w14:textId="77777777" w:rsidR="003C14DE" w:rsidRPr="009157D6" w:rsidRDefault="003C14DE" w:rsidP="009B71B6">
            <w:pPr>
              <w:widowControl w:val="0"/>
              <w:numPr>
                <w:ilvl w:val="0"/>
                <w:numId w:val="1"/>
              </w:numPr>
              <w:autoSpaceDE w:val="0"/>
              <w:autoSpaceDN w:val="0"/>
              <w:adjustRightInd w:val="0"/>
              <w:spacing w:before="60" w:after="60" w:line="276" w:lineRule="auto"/>
              <w:jc w:val="both"/>
              <w:rPr>
                <w:rFonts w:ascii="Times New Roman" w:hAnsi="Times New Roman" w:cs="Times New Roman"/>
                <w:b/>
                <w:color w:val="000000"/>
              </w:rPr>
            </w:pPr>
            <w:r w:rsidRPr="009157D6">
              <w:rPr>
                <w:rFonts w:ascii="Times New Roman" w:hAnsi="Times New Roman" w:cs="Times New Roman"/>
                <w:b/>
                <w:color w:val="000000"/>
              </w:rPr>
              <w:t xml:space="preserve">Wpływ na rynek pracy </w:t>
            </w:r>
          </w:p>
        </w:tc>
      </w:tr>
      <w:tr w:rsidR="003C14DE" w:rsidRPr="009157D6" w14:paraId="5F6F1DD0" w14:textId="77777777" w:rsidTr="009B71B6">
        <w:trPr>
          <w:gridAfter w:val="1"/>
          <w:wAfter w:w="10" w:type="dxa"/>
          <w:trHeight w:val="142"/>
        </w:trPr>
        <w:tc>
          <w:tcPr>
            <w:tcW w:w="10937" w:type="dxa"/>
            <w:gridSpan w:val="29"/>
          </w:tcPr>
          <w:p w14:paraId="5E07770D" w14:textId="3B6FBE7D" w:rsidR="003C14DE" w:rsidRPr="00970861" w:rsidRDefault="00FC0931" w:rsidP="009B71B6">
            <w:pPr>
              <w:spacing w:line="276" w:lineRule="auto"/>
              <w:rPr>
                <w:rFonts w:ascii="Times New Roman" w:hAnsi="Times New Roman" w:cs="Times New Roman"/>
              </w:rPr>
            </w:pPr>
            <w:r>
              <w:rPr>
                <w:rFonts w:ascii="Times New Roman" w:eastAsia="Calibri" w:hAnsi="Times New Roman" w:cs="Times New Roman"/>
              </w:rPr>
              <w:t>Projekt rozporządzenia</w:t>
            </w:r>
            <w:r w:rsidRPr="00970861">
              <w:rPr>
                <w:rFonts w:ascii="Times New Roman" w:eastAsia="Calibri" w:hAnsi="Times New Roman" w:cs="Times New Roman"/>
              </w:rPr>
              <w:t xml:space="preserve"> </w:t>
            </w:r>
            <w:r w:rsidR="003C14DE" w:rsidRPr="00970861">
              <w:rPr>
                <w:rFonts w:ascii="Times New Roman" w:eastAsia="Calibri" w:hAnsi="Times New Roman" w:cs="Times New Roman"/>
              </w:rPr>
              <w:t>ma charakter wtórny wobec ustawy o promowaniu energii elektrycznej z wysokosprawnej kogeneracji. Wpływ wprowadzenia proponowanych rozwiązań na rynek pracy został opisany w ocenie skutków regulacji do przedmiotowej ustawy.</w:t>
            </w:r>
          </w:p>
        </w:tc>
      </w:tr>
      <w:tr w:rsidR="003C14DE" w:rsidRPr="009157D6" w14:paraId="20B7A677" w14:textId="77777777" w:rsidTr="009B71B6">
        <w:trPr>
          <w:gridAfter w:val="1"/>
          <w:wAfter w:w="10" w:type="dxa"/>
          <w:trHeight w:val="142"/>
        </w:trPr>
        <w:tc>
          <w:tcPr>
            <w:tcW w:w="10937" w:type="dxa"/>
            <w:gridSpan w:val="29"/>
            <w:shd w:val="clear" w:color="auto" w:fill="99CCFF"/>
          </w:tcPr>
          <w:p w14:paraId="44D7AA93" w14:textId="77777777" w:rsidR="003C14DE" w:rsidRPr="009157D6" w:rsidRDefault="003C14DE" w:rsidP="009B71B6">
            <w:pPr>
              <w:widowControl w:val="0"/>
              <w:numPr>
                <w:ilvl w:val="0"/>
                <w:numId w:val="1"/>
              </w:numPr>
              <w:autoSpaceDE w:val="0"/>
              <w:autoSpaceDN w:val="0"/>
              <w:adjustRightInd w:val="0"/>
              <w:spacing w:before="60" w:after="60" w:line="276" w:lineRule="auto"/>
              <w:jc w:val="both"/>
              <w:rPr>
                <w:rFonts w:ascii="Times New Roman" w:hAnsi="Times New Roman" w:cs="Times New Roman"/>
                <w:b/>
                <w:color w:val="000000"/>
              </w:rPr>
            </w:pPr>
            <w:r w:rsidRPr="009157D6">
              <w:rPr>
                <w:rFonts w:ascii="Times New Roman" w:hAnsi="Times New Roman" w:cs="Times New Roman"/>
                <w:b/>
                <w:color w:val="000000"/>
              </w:rPr>
              <w:t>Wpływ na pozostałe obszary</w:t>
            </w:r>
          </w:p>
        </w:tc>
      </w:tr>
      <w:tr w:rsidR="008A2626" w:rsidRPr="009157D6" w14:paraId="28B85E78" w14:textId="77777777" w:rsidTr="009B71B6">
        <w:trPr>
          <w:gridAfter w:val="1"/>
          <w:wAfter w:w="10" w:type="dxa"/>
          <w:trHeight w:val="1031"/>
        </w:trPr>
        <w:tc>
          <w:tcPr>
            <w:tcW w:w="3547" w:type="dxa"/>
            <w:gridSpan w:val="5"/>
            <w:shd w:val="clear" w:color="auto" w:fill="FFFFFF"/>
          </w:tcPr>
          <w:p w14:paraId="718886E6" w14:textId="77777777" w:rsidR="008A2626" w:rsidRPr="00067D98" w:rsidRDefault="008A2626" w:rsidP="008A2626">
            <w:pPr>
              <w:spacing w:after="0" w:line="276" w:lineRule="auto"/>
              <w:rPr>
                <w:rFonts w:ascii="Times New Roman" w:eastAsia="Calibri" w:hAnsi="Times New Roman" w:cs="Times New Roman"/>
              </w:rPr>
            </w:pPr>
          </w:p>
          <w:p w14:paraId="1DAC2C94" w14:textId="2FC86AE7" w:rsidR="008A2626" w:rsidRPr="00067D98" w:rsidRDefault="008A2626" w:rsidP="008A2626">
            <w:pPr>
              <w:spacing w:after="0" w:line="276" w:lineRule="auto"/>
              <w:rPr>
                <w:rFonts w:ascii="Times New Roman" w:eastAsia="Calibri" w:hAnsi="Times New Roman" w:cs="Times New Roman"/>
                <w:spacing w:val="-2"/>
              </w:rPr>
            </w:pPr>
            <w:r>
              <w:rPr>
                <w:rFonts w:ascii="Times New Roman" w:eastAsia="Calibri" w:hAnsi="Times New Roman" w:cs="Times New Roman"/>
              </w:rPr>
              <w:fldChar w:fldCharType="begin">
                <w:ffData>
                  <w:name w:val=""/>
                  <w:enabled w:val="0"/>
                  <w:calcOnExit w:val="0"/>
                  <w:checkBox>
                    <w:sizeAuto/>
                    <w:default w:val="0"/>
                  </w:checkBox>
                </w:ffData>
              </w:fldChar>
            </w:r>
            <w:r>
              <w:rPr>
                <w:rFonts w:ascii="Times New Roman" w:eastAsia="Calibri" w:hAnsi="Times New Roman" w:cs="Times New Roman"/>
              </w:rPr>
              <w:instrText xml:space="preserve"> FORMCHECKBOX </w:instrText>
            </w:r>
            <w:r w:rsidR="00000000">
              <w:rPr>
                <w:rFonts w:ascii="Times New Roman" w:eastAsia="Calibri" w:hAnsi="Times New Roman" w:cs="Times New Roman"/>
              </w:rPr>
            </w:r>
            <w:r w:rsidR="00000000">
              <w:rPr>
                <w:rFonts w:ascii="Times New Roman" w:eastAsia="Calibri" w:hAnsi="Times New Roman" w:cs="Times New Roman"/>
              </w:rPr>
              <w:fldChar w:fldCharType="separate"/>
            </w:r>
            <w:r>
              <w:rPr>
                <w:rFonts w:ascii="Times New Roman" w:eastAsia="Calibri" w:hAnsi="Times New Roman" w:cs="Times New Roman"/>
              </w:rPr>
              <w:fldChar w:fldCharType="end"/>
            </w:r>
            <w:r w:rsidRPr="00067D98">
              <w:rPr>
                <w:rFonts w:ascii="Times New Roman" w:eastAsia="Calibri" w:hAnsi="Times New Roman" w:cs="Times New Roman"/>
                <w:sz w:val="20"/>
                <w:szCs w:val="20"/>
              </w:rPr>
              <w:t xml:space="preserve"> </w:t>
            </w:r>
            <w:r w:rsidRPr="00067D98">
              <w:rPr>
                <w:rFonts w:ascii="Times New Roman" w:eastAsia="Calibri" w:hAnsi="Times New Roman" w:cs="Times New Roman"/>
                <w:spacing w:val="-2"/>
              </w:rPr>
              <w:t>środowisko naturalne</w:t>
            </w:r>
          </w:p>
          <w:p w14:paraId="7136E987" w14:textId="77777777" w:rsidR="008A2626" w:rsidRPr="00067D98" w:rsidRDefault="008A2626" w:rsidP="008A2626">
            <w:pPr>
              <w:spacing w:after="0" w:line="276" w:lineRule="auto"/>
              <w:rPr>
                <w:rFonts w:ascii="Times New Roman" w:eastAsia="Calibri" w:hAnsi="Times New Roman" w:cs="Times New Roman"/>
              </w:rPr>
            </w:pPr>
            <w:r w:rsidRPr="00067D98">
              <w:rPr>
                <w:rFonts w:ascii="Times New Roman" w:eastAsia="Calibri" w:hAnsi="Times New Roman" w:cs="Times New Roman"/>
              </w:rPr>
              <w:fldChar w:fldCharType="begin">
                <w:ffData>
                  <w:name w:val="Wybór1"/>
                  <w:enabled/>
                  <w:calcOnExit w:val="0"/>
                  <w:checkBox>
                    <w:sizeAuto/>
                    <w:default w:val="0"/>
                  </w:checkBox>
                </w:ffData>
              </w:fldChar>
            </w:r>
            <w:r w:rsidRPr="00067D98">
              <w:rPr>
                <w:rFonts w:ascii="Times New Roman" w:eastAsia="Calibri" w:hAnsi="Times New Roman" w:cs="Times New Roman"/>
              </w:rPr>
              <w:instrText xml:space="preserve"> FORMCHECKBOX </w:instrText>
            </w:r>
            <w:r w:rsidR="00000000">
              <w:rPr>
                <w:rFonts w:ascii="Times New Roman" w:eastAsia="Calibri" w:hAnsi="Times New Roman" w:cs="Times New Roman"/>
              </w:rPr>
            </w:r>
            <w:r w:rsidR="00000000">
              <w:rPr>
                <w:rFonts w:ascii="Times New Roman" w:eastAsia="Calibri" w:hAnsi="Times New Roman" w:cs="Times New Roman"/>
              </w:rPr>
              <w:fldChar w:fldCharType="separate"/>
            </w:r>
            <w:r w:rsidRPr="00067D98">
              <w:rPr>
                <w:rFonts w:ascii="Times New Roman" w:eastAsia="Calibri" w:hAnsi="Times New Roman" w:cs="Times New Roman"/>
              </w:rPr>
              <w:fldChar w:fldCharType="end"/>
            </w:r>
            <w:r w:rsidRPr="00067D98">
              <w:rPr>
                <w:rFonts w:ascii="Times New Roman" w:eastAsia="Calibri" w:hAnsi="Times New Roman" w:cs="Times New Roman"/>
              </w:rPr>
              <w:t>sytuacja i rozwój regionalny</w:t>
            </w:r>
          </w:p>
          <w:p w14:paraId="2CB2B32F" w14:textId="62A9CFFC" w:rsidR="008A2626" w:rsidRPr="009157D6" w:rsidRDefault="008A2626" w:rsidP="008A2626">
            <w:pPr>
              <w:spacing w:line="240" w:lineRule="auto"/>
              <w:rPr>
                <w:rFonts w:ascii="Times New Roman" w:hAnsi="Times New Roman" w:cs="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D93C2B">
              <w:rPr>
                <w:rFonts w:ascii="Times New Roman" w:hAnsi="Times New Roman"/>
                <w:spacing w:val="-2"/>
              </w:rPr>
              <w:t>sądy powszechne, administracyjne lub wojskowe</w:t>
            </w:r>
          </w:p>
        </w:tc>
        <w:tc>
          <w:tcPr>
            <w:tcW w:w="3687" w:type="dxa"/>
            <w:gridSpan w:val="15"/>
            <w:shd w:val="clear" w:color="auto" w:fill="FFFFFF"/>
          </w:tcPr>
          <w:p w14:paraId="481B1ECE" w14:textId="77777777" w:rsidR="008A2626" w:rsidRPr="00067D98" w:rsidRDefault="008A2626" w:rsidP="008A2626">
            <w:pPr>
              <w:spacing w:after="0" w:line="276" w:lineRule="auto"/>
              <w:rPr>
                <w:rFonts w:ascii="Times New Roman" w:eastAsia="Calibri" w:hAnsi="Times New Roman" w:cs="Times New Roman"/>
              </w:rPr>
            </w:pPr>
          </w:p>
          <w:p w14:paraId="5379AC9C" w14:textId="77777777" w:rsidR="008A2626" w:rsidRPr="00067D98" w:rsidRDefault="008A2626" w:rsidP="008A2626">
            <w:pPr>
              <w:spacing w:after="0" w:line="276" w:lineRule="auto"/>
              <w:rPr>
                <w:rFonts w:ascii="Times New Roman" w:eastAsia="Calibri" w:hAnsi="Times New Roman" w:cs="Times New Roman"/>
                <w:spacing w:val="-2"/>
              </w:rPr>
            </w:pPr>
            <w:r w:rsidRPr="00067D98">
              <w:rPr>
                <w:rFonts w:ascii="Times New Roman" w:eastAsia="Calibri" w:hAnsi="Times New Roman" w:cs="Times New Roman"/>
              </w:rPr>
              <w:fldChar w:fldCharType="begin">
                <w:ffData>
                  <w:name w:val="Wybór1"/>
                  <w:enabled/>
                  <w:calcOnExit w:val="0"/>
                  <w:checkBox>
                    <w:sizeAuto/>
                    <w:default w:val="0"/>
                  </w:checkBox>
                </w:ffData>
              </w:fldChar>
            </w:r>
            <w:r w:rsidRPr="00067D98">
              <w:rPr>
                <w:rFonts w:ascii="Times New Roman" w:eastAsia="Calibri" w:hAnsi="Times New Roman" w:cs="Times New Roman"/>
              </w:rPr>
              <w:instrText xml:space="preserve"> FORMCHECKBOX </w:instrText>
            </w:r>
            <w:r w:rsidR="00000000">
              <w:rPr>
                <w:rFonts w:ascii="Times New Roman" w:eastAsia="Calibri" w:hAnsi="Times New Roman" w:cs="Times New Roman"/>
              </w:rPr>
            </w:r>
            <w:r w:rsidR="00000000">
              <w:rPr>
                <w:rFonts w:ascii="Times New Roman" w:eastAsia="Calibri" w:hAnsi="Times New Roman" w:cs="Times New Roman"/>
              </w:rPr>
              <w:fldChar w:fldCharType="separate"/>
            </w:r>
            <w:r w:rsidRPr="00067D98">
              <w:rPr>
                <w:rFonts w:ascii="Times New Roman" w:eastAsia="Calibri" w:hAnsi="Times New Roman" w:cs="Times New Roman"/>
              </w:rPr>
              <w:fldChar w:fldCharType="end"/>
            </w:r>
            <w:r w:rsidRPr="00067D98">
              <w:rPr>
                <w:rFonts w:ascii="Times New Roman" w:eastAsia="Calibri" w:hAnsi="Times New Roman" w:cs="Times New Roman"/>
                <w:sz w:val="20"/>
                <w:szCs w:val="20"/>
              </w:rPr>
              <w:t xml:space="preserve"> </w:t>
            </w:r>
            <w:r w:rsidRPr="00067D98">
              <w:rPr>
                <w:rFonts w:ascii="Times New Roman" w:eastAsia="Calibri" w:hAnsi="Times New Roman" w:cs="Times New Roman"/>
                <w:spacing w:val="-2"/>
              </w:rPr>
              <w:t>demografia</w:t>
            </w:r>
          </w:p>
          <w:p w14:paraId="7DDFCC76" w14:textId="77777777" w:rsidR="008A2626" w:rsidRDefault="008A2626" w:rsidP="008A2626">
            <w:pPr>
              <w:spacing w:after="0" w:line="276" w:lineRule="auto"/>
              <w:rPr>
                <w:rFonts w:ascii="Times New Roman" w:eastAsia="Calibri" w:hAnsi="Times New Roman" w:cs="Times New Roman"/>
              </w:rPr>
            </w:pPr>
            <w:r w:rsidRPr="00067D98">
              <w:rPr>
                <w:rFonts w:ascii="Times New Roman" w:eastAsia="Calibri" w:hAnsi="Times New Roman" w:cs="Times New Roman"/>
              </w:rPr>
              <w:fldChar w:fldCharType="begin">
                <w:ffData>
                  <w:name w:val=""/>
                  <w:enabled/>
                  <w:calcOnExit w:val="0"/>
                  <w:checkBox>
                    <w:sizeAuto/>
                    <w:default w:val="0"/>
                  </w:checkBox>
                </w:ffData>
              </w:fldChar>
            </w:r>
            <w:r w:rsidRPr="00067D98">
              <w:rPr>
                <w:rFonts w:ascii="Times New Roman" w:eastAsia="Calibri" w:hAnsi="Times New Roman" w:cs="Times New Roman"/>
              </w:rPr>
              <w:instrText xml:space="preserve"> FORMCHECKBOX </w:instrText>
            </w:r>
            <w:r w:rsidR="00000000">
              <w:rPr>
                <w:rFonts w:ascii="Times New Roman" w:eastAsia="Calibri" w:hAnsi="Times New Roman" w:cs="Times New Roman"/>
              </w:rPr>
            </w:r>
            <w:r w:rsidR="00000000">
              <w:rPr>
                <w:rFonts w:ascii="Times New Roman" w:eastAsia="Calibri" w:hAnsi="Times New Roman" w:cs="Times New Roman"/>
              </w:rPr>
              <w:fldChar w:fldCharType="separate"/>
            </w:r>
            <w:r w:rsidRPr="00067D98">
              <w:rPr>
                <w:rFonts w:ascii="Times New Roman" w:eastAsia="Calibri" w:hAnsi="Times New Roman" w:cs="Times New Roman"/>
              </w:rPr>
              <w:fldChar w:fldCharType="end"/>
            </w:r>
            <w:r w:rsidRPr="00067D98">
              <w:rPr>
                <w:rFonts w:ascii="Times New Roman" w:eastAsia="Calibri" w:hAnsi="Times New Roman" w:cs="Times New Roman"/>
                <w:sz w:val="20"/>
                <w:szCs w:val="20"/>
              </w:rPr>
              <w:t xml:space="preserve"> </w:t>
            </w:r>
            <w:r w:rsidRPr="00067D98">
              <w:rPr>
                <w:rFonts w:ascii="Times New Roman" w:eastAsia="Calibri" w:hAnsi="Times New Roman" w:cs="Times New Roman"/>
              </w:rPr>
              <w:t>mienie państwowe</w:t>
            </w:r>
          </w:p>
          <w:p w14:paraId="398F92F8" w14:textId="0DB3CB5F" w:rsidR="008A2626" w:rsidRPr="009157D6" w:rsidRDefault="008A2626" w:rsidP="008A2626">
            <w:pPr>
              <w:spacing w:line="240" w:lineRule="auto"/>
              <w:rPr>
                <w:rFonts w:ascii="Times New Roman" w:hAnsi="Times New Roman" w:cs="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 xml:space="preserve">inne: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c>
          <w:tcPr>
            <w:tcW w:w="3703" w:type="dxa"/>
            <w:gridSpan w:val="9"/>
            <w:shd w:val="clear" w:color="auto" w:fill="FFFFFF"/>
          </w:tcPr>
          <w:p w14:paraId="6A75CF70" w14:textId="77777777" w:rsidR="008A2626" w:rsidRPr="00067D98" w:rsidRDefault="008A2626" w:rsidP="008A2626">
            <w:pPr>
              <w:spacing w:after="0" w:line="276" w:lineRule="auto"/>
              <w:rPr>
                <w:rFonts w:ascii="Times New Roman" w:eastAsia="Calibri" w:hAnsi="Times New Roman" w:cs="Times New Roman"/>
              </w:rPr>
            </w:pPr>
          </w:p>
          <w:p w14:paraId="44A3EDA7" w14:textId="77777777" w:rsidR="008A2626" w:rsidRPr="00067D98" w:rsidRDefault="008A2626" w:rsidP="008A2626">
            <w:pPr>
              <w:spacing w:after="0" w:line="276" w:lineRule="auto"/>
              <w:rPr>
                <w:rFonts w:ascii="Times New Roman" w:eastAsia="Calibri" w:hAnsi="Times New Roman" w:cs="Times New Roman"/>
                <w:spacing w:val="-2"/>
              </w:rPr>
            </w:pPr>
            <w:r w:rsidRPr="00067D98">
              <w:rPr>
                <w:rFonts w:ascii="Times New Roman" w:eastAsia="Calibri" w:hAnsi="Times New Roman" w:cs="Times New Roman"/>
              </w:rPr>
              <w:fldChar w:fldCharType="begin">
                <w:ffData>
                  <w:name w:val="Wybór1"/>
                  <w:enabled/>
                  <w:calcOnExit w:val="0"/>
                  <w:checkBox>
                    <w:sizeAuto/>
                    <w:default w:val="0"/>
                  </w:checkBox>
                </w:ffData>
              </w:fldChar>
            </w:r>
            <w:r w:rsidRPr="00067D98">
              <w:rPr>
                <w:rFonts w:ascii="Times New Roman" w:eastAsia="Calibri" w:hAnsi="Times New Roman" w:cs="Times New Roman"/>
              </w:rPr>
              <w:instrText xml:space="preserve"> FORMCHECKBOX </w:instrText>
            </w:r>
            <w:r w:rsidR="00000000">
              <w:rPr>
                <w:rFonts w:ascii="Times New Roman" w:eastAsia="Calibri" w:hAnsi="Times New Roman" w:cs="Times New Roman"/>
              </w:rPr>
            </w:r>
            <w:r w:rsidR="00000000">
              <w:rPr>
                <w:rFonts w:ascii="Times New Roman" w:eastAsia="Calibri" w:hAnsi="Times New Roman" w:cs="Times New Roman"/>
              </w:rPr>
              <w:fldChar w:fldCharType="separate"/>
            </w:r>
            <w:r w:rsidRPr="00067D98">
              <w:rPr>
                <w:rFonts w:ascii="Times New Roman" w:eastAsia="Calibri" w:hAnsi="Times New Roman" w:cs="Times New Roman"/>
              </w:rPr>
              <w:fldChar w:fldCharType="end"/>
            </w:r>
            <w:r w:rsidRPr="00067D98">
              <w:rPr>
                <w:rFonts w:ascii="Times New Roman" w:eastAsia="Calibri" w:hAnsi="Times New Roman" w:cs="Times New Roman"/>
                <w:sz w:val="20"/>
                <w:szCs w:val="20"/>
              </w:rPr>
              <w:t xml:space="preserve"> </w:t>
            </w:r>
            <w:r w:rsidRPr="00067D98">
              <w:rPr>
                <w:rFonts w:ascii="Times New Roman" w:eastAsia="Calibri" w:hAnsi="Times New Roman" w:cs="Times New Roman"/>
                <w:spacing w:val="-2"/>
              </w:rPr>
              <w:t>informatyzacja</w:t>
            </w:r>
          </w:p>
          <w:p w14:paraId="6B6BFC3B" w14:textId="50EC74B9" w:rsidR="008A2626" w:rsidRPr="009157D6" w:rsidRDefault="008A2626" w:rsidP="008A2626">
            <w:pPr>
              <w:spacing w:line="240" w:lineRule="auto"/>
              <w:rPr>
                <w:rFonts w:ascii="Times New Roman" w:hAnsi="Times New Roman" w:cs="Times New Roman"/>
                <w:color w:val="000000"/>
              </w:rPr>
            </w:pPr>
            <w:r>
              <w:rPr>
                <w:rFonts w:ascii="Times New Roman" w:eastAsia="Calibri" w:hAnsi="Times New Roman" w:cs="Times New Roman"/>
              </w:rPr>
              <w:fldChar w:fldCharType="begin">
                <w:ffData>
                  <w:name w:val=""/>
                  <w:enabled w:val="0"/>
                  <w:calcOnExit w:val="0"/>
                  <w:checkBox>
                    <w:sizeAuto/>
                    <w:default w:val="0"/>
                  </w:checkBox>
                </w:ffData>
              </w:fldChar>
            </w:r>
            <w:r>
              <w:rPr>
                <w:rFonts w:ascii="Times New Roman" w:eastAsia="Calibri" w:hAnsi="Times New Roman" w:cs="Times New Roman"/>
              </w:rPr>
              <w:instrText xml:space="preserve"> FORMCHECKBOX </w:instrText>
            </w:r>
            <w:r w:rsidR="00000000">
              <w:rPr>
                <w:rFonts w:ascii="Times New Roman" w:eastAsia="Calibri" w:hAnsi="Times New Roman" w:cs="Times New Roman"/>
              </w:rPr>
            </w:r>
            <w:r w:rsidR="00000000">
              <w:rPr>
                <w:rFonts w:ascii="Times New Roman" w:eastAsia="Calibri" w:hAnsi="Times New Roman" w:cs="Times New Roman"/>
              </w:rPr>
              <w:fldChar w:fldCharType="separate"/>
            </w:r>
            <w:r>
              <w:rPr>
                <w:rFonts w:ascii="Times New Roman" w:eastAsia="Calibri" w:hAnsi="Times New Roman" w:cs="Times New Roman"/>
              </w:rPr>
              <w:fldChar w:fldCharType="end"/>
            </w:r>
            <w:r w:rsidRPr="00067D98">
              <w:rPr>
                <w:rFonts w:ascii="Times New Roman" w:eastAsia="Calibri" w:hAnsi="Times New Roman" w:cs="Times New Roman"/>
                <w:sz w:val="20"/>
                <w:szCs w:val="20"/>
              </w:rPr>
              <w:t xml:space="preserve"> </w:t>
            </w:r>
            <w:r w:rsidRPr="00067D98">
              <w:rPr>
                <w:rFonts w:ascii="Times New Roman" w:eastAsia="Calibri" w:hAnsi="Times New Roman" w:cs="Times New Roman"/>
                <w:spacing w:val="-2"/>
              </w:rPr>
              <w:t>zdrowie</w:t>
            </w:r>
          </w:p>
        </w:tc>
      </w:tr>
      <w:tr w:rsidR="003C14DE" w:rsidRPr="009157D6" w14:paraId="6BF2BB92" w14:textId="77777777" w:rsidTr="009B71B6">
        <w:trPr>
          <w:gridAfter w:val="1"/>
          <w:wAfter w:w="10" w:type="dxa"/>
          <w:trHeight w:val="712"/>
        </w:trPr>
        <w:tc>
          <w:tcPr>
            <w:tcW w:w="2243" w:type="dxa"/>
            <w:gridSpan w:val="2"/>
            <w:shd w:val="clear" w:color="auto" w:fill="FFFFFF"/>
            <w:vAlign w:val="center"/>
          </w:tcPr>
          <w:p w14:paraId="440CDEF6" w14:textId="77777777" w:rsidR="003C14DE" w:rsidRPr="009157D6" w:rsidRDefault="003C14DE" w:rsidP="009B71B6">
            <w:pPr>
              <w:spacing w:line="240" w:lineRule="auto"/>
              <w:rPr>
                <w:rFonts w:ascii="Times New Roman" w:hAnsi="Times New Roman" w:cs="Times New Roman"/>
                <w:color w:val="000000"/>
              </w:rPr>
            </w:pPr>
            <w:r w:rsidRPr="009157D6">
              <w:rPr>
                <w:rFonts w:ascii="Times New Roman" w:hAnsi="Times New Roman" w:cs="Times New Roman"/>
                <w:color w:val="000000"/>
              </w:rPr>
              <w:t>Omówienie wpływu</w:t>
            </w:r>
          </w:p>
        </w:tc>
        <w:tc>
          <w:tcPr>
            <w:tcW w:w="8694" w:type="dxa"/>
            <w:gridSpan w:val="27"/>
            <w:shd w:val="clear" w:color="auto" w:fill="FFFFFF"/>
            <w:vAlign w:val="center"/>
          </w:tcPr>
          <w:p w14:paraId="3CD25424" w14:textId="77777777" w:rsidR="003C14DE" w:rsidRPr="009157D6" w:rsidRDefault="003C14DE" w:rsidP="009B71B6">
            <w:pPr>
              <w:spacing w:line="240" w:lineRule="auto"/>
              <w:jc w:val="both"/>
              <w:rPr>
                <w:rFonts w:ascii="Times New Roman" w:hAnsi="Times New Roman" w:cs="Times New Roman"/>
                <w:color w:val="000000"/>
                <w:spacing w:val="-2"/>
              </w:rPr>
            </w:pPr>
            <w:r w:rsidRPr="009157D6">
              <w:rPr>
                <w:rFonts w:ascii="Times New Roman" w:hAnsi="Times New Roman" w:cs="Times New Roman"/>
              </w:rPr>
              <w:t>Oszczędność chemiczna paliwa wyrażona za pomocą wskaźnika PES w wyniku produkcji energii elektrycznej i ciepła w wysokosprawnej kogeneracji powoduję mniejszą emisję szkodliwych substancji do otoczenia oraz zmniejsza wykorzystanie zasobów surowców energetycznych</w:t>
            </w:r>
            <w:r w:rsidRPr="009157D6">
              <w:rPr>
                <w:rFonts w:ascii="Times New Roman" w:hAnsi="Times New Roman" w:cs="Times New Roman"/>
                <w:color w:val="000000"/>
                <w:spacing w:val="-2"/>
              </w:rPr>
              <w:t xml:space="preserve">. </w:t>
            </w:r>
          </w:p>
        </w:tc>
      </w:tr>
      <w:tr w:rsidR="003C14DE" w:rsidRPr="009157D6" w14:paraId="1EB78D1A" w14:textId="77777777" w:rsidTr="009B71B6">
        <w:trPr>
          <w:gridAfter w:val="1"/>
          <w:wAfter w:w="10" w:type="dxa"/>
          <w:trHeight w:val="142"/>
        </w:trPr>
        <w:tc>
          <w:tcPr>
            <w:tcW w:w="10937" w:type="dxa"/>
            <w:gridSpan w:val="29"/>
            <w:shd w:val="clear" w:color="auto" w:fill="99CCFF"/>
          </w:tcPr>
          <w:p w14:paraId="5A12CFB7" w14:textId="77777777" w:rsidR="003C14DE" w:rsidRPr="009157D6" w:rsidRDefault="003C14DE" w:rsidP="009B71B6">
            <w:pPr>
              <w:widowControl w:val="0"/>
              <w:numPr>
                <w:ilvl w:val="0"/>
                <w:numId w:val="1"/>
              </w:numPr>
              <w:autoSpaceDE w:val="0"/>
              <w:autoSpaceDN w:val="0"/>
              <w:adjustRightInd w:val="0"/>
              <w:spacing w:before="60" w:after="60" w:line="276" w:lineRule="auto"/>
              <w:ind w:left="318" w:hanging="284"/>
              <w:jc w:val="both"/>
              <w:rPr>
                <w:rFonts w:ascii="Times New Roman" w:hAnsi="Times New Roman" w:cs="Times New Roman"/>
                <w:b/>
              </w:rPr>
            </w:pPr>
            <w:r w:rsidRPr="009157D6">
              <w:rPr>
                <w:rFonts w:ascii="Times New Roman" w:hAnsi="Times New Roman" w:cs="Times New Roman"/>
                <w:b/>
                <w:spacing w:val="-2"/>
              </w:rPr>
              <w:t>Planowane wykonanie przepisów aktu prawnego</w:t>
            </w:r>
          </w:p>
        </w:tc>
      </w:tr>
      <w:tr w:rsidR="003C14DE" w:rsidRPr="009157D6" w14:paraId="3F3F8B64" w14:textId="77777777" w:rsidTr="009B71B6">
        <w:trPr>
          <w:gridAfter w:val="1"/>
          <w:wAfter w:w="10" w:type="dxa"/>
          <w:trHeight w:val="142"/>
        </w:trPr>
        <w:tc>
          <w:tcPr>
            <w:tcW w:w="10937" w:type="dxa"/>
            <w:gridSpan w:val="29"/>
            <w:shd w:val="clear" w:color="auto" w:fill="FFFFFF"/>
          </w:tcPr>
          <w:p w14:paraId="02ACEE53" w14:textId="4A56384A" w:rsidR="003C14DE" w:rsidRPr="009157D6" w:rsidRDefault="003C14DE" w:rsidP="00D81BA5">
            <w:pPr>
              <w:spacing w:line="276" w:lineRule="auto"/>
              <w:rPr>
                <w:rFonts w:ascii="Times New Roman" w:hAnsi="Times New Roman" w:cs="Times New Roman"/>
              </w:rPr>
            </w:pPr>
            <w:r w:rsidRPr="009157D6">
              <w:rPr>
                <w:rFonts w:ascii="Times New Roman" w:hAnsi="Times New Roman" w:cs="Times New Roman"/>
              </w:rPr>
              <w:lastRenderedPageBreak/>
              <w:t xml:space="preserve">Rozporządzenie wchodzi w życie </w:t>
            </w:r>
            <w:r w:rsidR="00DD0A52">
              <w:rPr>
                <w:rFonts w:ascii="Times New Roman" w:hAnsi="Times New Roman" w:cs="Times New Roman"/>
              </w:rPr>
              <w:t xml:space="preserve">z </w:t>
            </w:r>
            <w:r w:rsidR="00322F94">
              <w:rPr>
                <w:rFonts w:ascii="Times New Roman" w:hAnsi="Times New Roman" w:cs="Times New Roman"/>
              </w:rPr>
              <w:t>dni</w:t>
            </w:r>
            <w:r w:rsidR="00DD0A52">
              <w:rPr>
                <w:rFonts w:ascii="Times New Roman" w:hAnsi="Times New Roman" w:cs="Times New Roman"/>
              </w:rPr>
              <w:t>em</w:t>
            </w:r>
            <w:r w:rsidR="00322F94">
              <w:rPr>
                <w:rFonts w:ascii="Times New Roman" w:hAnsi="Times New Roman" w:cs="Times New Roman"/>
              </w:rPr>
              <w:t xml:space="preserve"> 1 stycznia 202</w:t>
            </w:r>
            <w:r w:rsidR="007A2168">
              <w:rPr>
                <w:rFonts w:ascii="Times New Roman" w:hAnsi="Times New Roman" w:cs="Times New Roman"/>
              </w:rPr>
              <w:t>4</w:t>
            </w:r>
            <w:r w:rsidR="00322F94">
              <w:rPr>
                <w:rFonts w:ascii="Times New Roman" w:hAnsi="Times New Roman" w:cs="Times New Roman"/>
              </w:rPr>
              <w:t xml:space="preserve"> r. </w:t>
            </w:r>
          </w:p>
        </w:tc>
      </w:tr>
      <w:tr w:rsidR="003C14DE" w:rsidRPr="009157D6" w14:paraId="5F0C890F" w14:textId="77777777" w:rsidTr="009B71B6">
        <w:trPr>
          <w:gridAfter w:val="1"/>
          <w:wAfter w:w="10" w:type="dxa"/>
          <w:trHeight w:val="142"/>
        </w:trPr>
        <w:tc>
          <w:tcPr>
            <w:tcW w:w="10937" w:type="dxa"/>
            <w:gridSpan w:val="29"/>
            <w:shd w:val="clear" w:color="auto" w:fill="99CCFF"/>
          </w:tcPr>
          <w:p w14:paraId="03D35FBD" w14:textId="77777777" w:rsidR="003C14DE" w:rsidRPr="009157D6" w:rsidRDefault="003C14DE" w:rsidP="009B71B6">
            <w:pPr>
              <w:widowControl w:val="0"/>
              <w:numPr>
                <w:ilvl w:val="0"/>
                <w:numId w:val="1"/>
              </w:numPr>
              <w:autoSpaceDE w:val="0"/>
              <w:autoSpaceDN w:val="0"/>
              <w:adjustRightInd w:val="0"/>
              <w:spacing w:before="60" w:after="60" w:line="276" w:lineRule="auto"/>
              <w:ind w:left="318" w:hanging="284"/>
              <w:jc w:val="both"/>
              <w:rPr>
                <w:rFonts w:ascii="Times New Roman" w:hAnsi="Times New Roman" w:cs="Times New Roman"/>
                <w:b/>
                <w:color w:val="000000"/>
              </w:rPr>
            </w:pPr>
            <w:r w:rsidRPr="009157D6">
              <w:rPr>
                <w:rFonts w:ascii="Times New Roman" w:hAnsi="Times New Roman" w:cs="Times New Roman"/>
                <w:b/>
                <w:color w:val="000000"/>
              </w:rPr>
              <w:t xml:space="preserve"> </w:t>
            </w:r>
            <w:r w:rsidRPr="009157D6">
              <w:rPr>
                <w:rFonts w:ascii="Times New Roman" w:hAnsi="Times New Roman" w:cs="Times New Roman"/>
                <w:b/>
                <w:spacing w:val="-2"/>
              </w:rPr>
              <w:t>W jaki sposób i kiedy nastąpi ewaluacja efektów projektu oraz jakie mierniki zostaną zastosowane?</w:t>
            </w:r>
          </w:p>
        </w:tc>
      </w:tr>
      <w:tr w:rsidR="003C14DE" w:rsidRPr="009157D6" w14:paraId="49C1A677" w14:textId="77777777" w:rsidTr="009B71B6">
        <w:trPr>
          <w:gridAfter w:val="1"/>
          <w:wAfter w:w="10" w:type="dxa"/>
          <w:trHeight w:val="142"/>
        </w:trPr>
        <w:tc>
          <w:tcPr>
            <w:tcW w:w="10937" w:type="dxa"/>
            <w:gridSpan w:val="29"/>
            <w:shd w:val="clear" w:color="auto" w:fill="FFFFFF"/>
          </w:tcPr>
          <w:p w14:paraId="7EF2F583" w14:textId="45373C54" w:rsidR="003C14DE" w:rsidRPr="00247F9E" w:rsidRDefault="00247F9E" w:rsidP="001D3E7C">
            <w:pPr>
              <w:pStyle w:val="Default"/>
              <w:rPr>
                <w:rFonts w:ascii="Times New Roman" w:hAnsi="Times New Roman" w:cs="Times New Roman"/>
                <w:sz w:val="22"/>
                <w:szCs w:val="22"/>
              </w:rPr>
            </w:pPr>
            <w:r w:rsidRPr="00247F9E">
              <w:rPr>
                <w:rFonts w:ascii="Times New Roman" w:hAnsi="Times New Roman" w:cs="Times New Roman"/>
                <w:sz w:val="22"/>
                <w:szCs w:val="22"/>
              </w:rPr>
              <w:t xml:space="preserve">Ewaluacja zostanie dokonana w czasie opracowywania projektu rozporządzenia, </w:t>
            </w:r>
            <w:r w:rsidR="009B71B6">
              <w:rPr>
                <w:rFonts w:ascii="Times New Roman" w:hAnsi="Times New Roman" w:cs="Times New Roman"/>
                <w:sz w:val="22"/>
                <w:szCs w:val="22"/>
              </w:rPr>
              <w:t xml:space="preserve">w którym określona zostanie </w:t>
            </w:r>
            <w:r w:rsidR="00322F94">
              <w:rPr>
                <w:rFonts w:ascii="Times New Roman" w:hAnsi="Times New Roman" w:cs="Times New Roman"/>
                <w:sz w:val="22"/>
                <w:szCs w:val="22"/>
              </w:rPr>
              <w:t>wysokość stawki opłaty kogeneracyjnej na rok 202</w:t>
            </w:r>
            <w:r w:rsidR="00185134">
              <w:rPr>
                <w:rFonts w:ascii="Times New Roman" w:hAnsi="Times New Roman" w:cs="Times New Roman"/>
                <w:sz w:val="22"/>
                <w:szCs w:val="22"/>
              </w:rPr>
              <w:t>5</w:t>
            </w:r>
            <w:r w:rsidR="00322F94">
              <w:rPr>
                <w:rFonts w:ascii="Times New Roman" w:hAnsi="Times New Roman" w:cs="Times New Roman"/>
                <w:sz w:val="22"/>
                <w:szCs w:val="22"/>
              </w:rPr>
              <w:t xml:space="preserve">. </w:t>
            </w:r>
          </w:p>
        </w:tc>
      </w:tr>
      <w:tr w:rsidR="003C14DE" w:rsidRPr="009157D6" w14:paraId="3BFC81E7" w14:textId="77777777" w:rsidTr="009B71B6">
        <w:trPr>
          <w:gridAfter w:val="1"/>
          <w:wAfter w:w="10" w:type="dxa"/>
          <w:trHeight w:val="142"/>
        </w:trPr>
        <w:tc>
          <w:tcPr>
            <w:tcW w:w="10937" w:type="dxa"/>
            <w:gridSpan w:val="29"/>
            <w:shd w:val="clear" w:color="auto" w:fill="99CCFF"/>
          </w:tcPr>
          <w:p w14:paraId="251BF115" w14:textId="77777777" w:rsidR="003C14DE" w:rsidRPr="009157D6" w:rsidRDefault="003C14DE" w:rsidP="009B71B6">
            <w:pPr>
              <w:widowControl w:val="0"/>
              <w:numPr>
                <w:ilvl w:val="0"/>
                <w:numId w:val="1"/>
              </w:numPr>
              <w:autoSpaceDE w:val="0"/>
              <w:autoSpaceDN w:val="0"/>
              <w:adjustRightInd w:val="0"/>
              <w:spacing w:before="60" w:after="60" w:line="276" w:lineRule="auto"/>
              <w:ind w:left="318" w:hanging="284"/>
              <w:jc w:val="both"/>
              <w:rPr>
                <w:rFonts w:ascii="Times New Roman" w:hAnsi="Times New Roman" w:cs="Times New Roman"/>
                <w:b/>
                <w:color w:val="000000"/>
                <w:spacing w:val="-2"/>
              </w:rPr>
            </w:pPr>
            <w:r w:rsidRPr="009157D6">
              <w:rPr>
                <w:rFonts w:ascii="Times New Roman" w:hAnsi="Times New Roman" w:cs="Times New Roman"/>
                <w:b/>
                <w:color w:val="000000"/>
                <w:spacing w:val="-2"/>
              </w:rPr>
              <w:t xml:space="preserve">Załączniki </w:t>
            </w:r>
            <w:r w:rsidRPr="009157D6">
              <w:rPr>
                <w:rFonts w:ascii="Times New Roman" w:hAnsi="Times New Roman" w:cs="Times New Roman"/>
                <w:b/>
                <w:spacing w:val="-2"/>
              </w:rPr>
              <w:t>(istotne dokumenty źródłowe, badania, analizy itp.</w:t>
            </w:r>
            <w:r w:rsidRPr="009157D6">
              <w:rPr>
                <w:rFonts w:ascii="Times New Roman" w:hAnsi="Times New Roman" w:cs="Times New Roman"/>
                <w:b/>
                <w:color w:val="000000"/>
                <w:spacing w:val="-2"/>
              </w:rPr>
              <w:t xml:space="preserve">) </w:t>
            </w:r>
          </w:p>
        </w:tc>
      </w:tr>
      <w:tr w:rsidR="003C14DE" w:rsidRPr="009157D6" w14:paraId="65B98D5A" w14:textId="77777777" w:rsidTr="00B1285E">
        <w:trPr>
          <w:gridAfter w:val="1"/>
          <w:wAfter w:w="10" w:type="dxa"/>
          <w:trHeight w:val="418"/>
        </w:trPr>
        <w:tc>
          <w:tcPr>
            <w:tcW w:w="10937" w:type="dxa"/>
            <w:gridSpan w:val="29"/>
            <w:shd w:val="clear" w:color="auto" w:fill="FFFFFF"/>
          </w:tcPr>
          <w:p w14:paraId="4B931C82" w14:textId="41A4F354" w:rsidR="003C14DE" w:rsidRPr="009157D6" w:rsidRDefault="003C14DE" w:rsidP="009B71B6">
            <w:pPr>
              <w:spacing w:line="240" w:lineRule="auto"/>
              <w:jc w:val="both"/>
              <w:rPr>
                <w:rFonts w:ascii="Times New Roman" w:hAnsi="Times New Roman" w:cs="Times New Roman"/>
                <w:color w:val="000000"/>
                <w:spacing w:val="-2"/>
              </w:rPr>
            </w:pPr>
            <w:r w:rsidRPr="009157D6">
              <w:rPr>
                <w:rFonts w:ascii="Times New Roman" w:hAnsi="Times New Roman" w:cs="Times New Roman"/>
                <w:color w:val="000000"/>
                <w:spacing w:val="-2"/>
              </w:rPr>
              <w:t>Brak</w:t>
            </w:r>
          </w:p>
        </w:tc>
      </w:tr>
    </w:tbl>
    <w:p w14:paraId="1A70A5A4" w14:textId="77777777" w:rsidR="003C14DE" w:rsidRDefault="003C14DE" w:rsidP="003C14DE"/>
    <w:sectPr w:rsidR="003C14DE" w:rsidSect="009B71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91E9" w14:textId="77777777" w:rsidR="000C2EBA" w:rsidRDefault="000C2EBA" w:rsidP="00144122">
      <w:pPr>
        <w:spacing w:after="0" w:line="240" w:lineRule="auto"/>
      </w:pPr>
      <w:r>
        <w:separator/>
      </w:r>
    </w:p>
  </w:endnote>
  <w:endnote w:type="continuationSeparator" w:id="0">
    <w:p w14:paraId="017C198B" w14:textId="77777777" w:rsidR="000C2EBA" w:rsidRDefault="000C2EBA" w:rsidP="0014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99C4" w14:textId="77777777" w:rsidR="000C2EBA" w:rsidRDefault="000C2EBA" w:rsidP="00144122">
      <w:pPr>
        <w:spacing w:after="0" w:line="240" w:lineRule="auto"/>
      </w:pPr>
      <w:r>
        <w:separator/>
      </w:r>
    </w:p>
  </w:footnote>
  <w:footnote w:type="continuationSeparator" w:id="0">
    <w:p w14:paraId="782C9430" w14:textId="77777777" w:rsidR="000C2EBA" w:rsidRDefault="000C2EBA" w:rsidP="00144122">
      <w:pPr>
        <w:spacing w:after="0" w:line="240" w:lineRule="auto"/>
      </w:pPr>
      <w:r>
        <w:continuationSeparator/>
      </w:r>
    </w:p>
  </w:footnote>
  <w:footnote w:id="1">
    <w:p w14:paraId="5764B2A4" w14:textId="2BBEDBE0" w:rsidR="00D57F13" w:rsidRPr="00E16835" w:rsidRDefault="00D57F13" w:rsidP="00E16835">
      <w:pPr>
        <w:pStyle w:val="Tekstprzypisudolnego"/>
        <w:jc w:val="both"/>
        <w:rPr>
          <w:rFonts w:ascii="Times New Roman" w:hAnsi="Times New Roman" w:cs="Times New Roman"/>
        </w:rPr>
      </w:pPr>
      <w:r w:rsidRPr="00E16835">
        <w:rPr>
          <w:rStyle w:val="Odwoanieprzypisudolnego"/>
          <w:rFonts w:ascii="Times New Roman" w:hAnsi="Times New Roman" w:cs="Times New Roman"/>
        </w:rPr>
        <w:footnoteRef/>
      </w:r>
      <w:r w:rsidRPr="00E16835">
        <w:rPr>
          <w:rFonts w:ascii="Times New Roman" w:hAnsi="Times New Roman" w:cs="Times New Roman"/>
        </w:rPr>
        <w:t xml:space="preserve"> https://www.ure.gov.pl/pl/urzad/informacje-ogolne/edukacja-i-komunikacja/publikacje/sprawozdania-z-dzialaln/2916,Sprawozdania-z-dzialalnosci-Prezesa-URE.html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06BF"/>
    <w:multiLevelType w:val="hybridMultilevel"/>
    <w:tmpl w:val="0798B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394D7E"/>
    <w:multiLevelType w:val="hybridMultilevel"/>
    <w:tmpl w:val="AE28BDD2"/>
    <w:lvl w:ilvl="0" w:tplc="BC929DEA">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2A41E7"/>
    <w:multiLevelType w:val="hybridMultilevel"/>
    <w:tmpl w:val="DC3A1F54"/>
    <w:lvl w:ilvl="0" w:tplc="680E46FE">
      <w:start w:val="1"/>
      <w:numFmt w:val="decimal"/>
      <w:lvlText w:val="%1."/>
      <w:lvlJc w:val="left"/>
      <w:pPr>
        <w:tabs>
          <w:tab w:val="num" w:pos="360"/>
        </w:tabs>
        <w:ind w:left="360" w:hanging="360"/>
      </w:pPr>
      <w:rPr>
        <w:rFonts w:cs="Times New Roman" w:hint="default"/>
        <w:b/>
      </w:rPr>
    </w:lvl>
    <w:lvl w:ilvl="1" w:tplc="04150001">
      <w:start w:val="1"/>
      <w:numFmt w:val="bullet"/>
      <w:lvlText w:val=""/>
      <w:lvlJc w:val="left"/>
      <w:pPr>
        <w:tabs>
          <w:tab w:val="num" w:pos="170"/>
        </w:tabs>
        <w:ind w:left="170" w:hanging="170"/>
      </w:pPr>
      <w:rPr>
        <w:rFonts w:ascii="Symbol" w:hAnsi="Symbol"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FA84E3A"/>
    <w:multiLevelType w:val="hybridMultilevel"/>
    <w:tmpl w:val="B1A0F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025EC6"/>
    <w:multiLevelType w:val="hybridMultilevel"/>
    <w:tmpl w:val="5394CFE6"/>
    <w:lvl w:ilvl="0" w:tplc="04150001">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4B4E65"/>
    <w:multiLevelType w:val="hybridMultilevel"/>
    <w:tmpl w:val="92148A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4563449">
    <w:abstractNumId w:val="2"/>
  </w:num>
  <w:num w:numId="2" w16cid:durableId="1005589418">
    <w:abstractNumId w:val="4"/>
  </w:num>
  <w:num w:numId="3" w16cid:durableId="381489669">
    <w:abstractNumId w:val="5"/>
  </w:num>
  <w:num w:numId="4" w16cid:durableId="1874610388">
    <w:abstractNumId w:val="3"/>
  </w:num>
  <w:num w:numId="5" w16cid:durableId="146479692">
    <w:abstractNumId w:val="0"/>
  </w:num>
  <w:num w:numId="6" w16cid:durableId="85905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E"/>
    <w:rsid w:val="000275A1"/>
    <w:rsid w:val="00035C5F"/>
    <w:rsid w:val="00060875"/>
    <w:rsid w:val="0006595D"/>
    <w:rsid w:val="000666E6"/>
    <w:rsid w:val="00085B17"/>
    <w:rsid w:val="00092245"/>
    <w:rsid w:val="0009466D"/>
    <w:rsid w:val="000B68CC"/>
    <w:rsid w:val="000C2EBA"/>
    <w:rsid w:val="000C68EC"/>
    <w:rsid w:val="000E1E6E"/>
    <w:rsid w:val="00111847"/>
    <w:rsid w:val="001141C1"/>
    <w:rsid w:val="00133F25"/>
    <w:rsid w:val="00140BD7"/>
    <w:rsid w:val="00144122"/>
    <w:rsid w:val="0016126C"/>
    <w:rsid w:val="0016384D"/>
    <w:rsid w:val="00167792"/>
    <w:rsid w:val="00170E0A"/>
    <w:rsid w:val="0018241C"/>
    <w:rsid w:val="00185134"/>
    <w:rsid w:val="001B3220"/>
    <w:rsid w:val="001D206A"/>
    <w:rsid w:val="001D2972"/>
    <w:rsid w:val="001D3E7C"/>
    <w:rsid w:val="001D56B1"/>
    <w:rsid w:val="001F2F8D"/>
    <w:rsid w:val="001F3089"/>
    <w:rsid w:val="00201267"/>
    <w:rsid w:val="00202CD8"/>
    <w:rsid w:val="002165C7"/>
    <w:rsid w:val="00217DCE"/>
    <w:rsid w:val="00220F01"/>
    <w:rsid w:val="0022241A"/>
    <w:rsid w:val="00230ADA"/>
    <w:rsid w:val="0023461F"/>
    <w:rsid w:val="00242EC5"/>
    <w:rsid w:val="0024314D"/>
    <w:rsid w:val="00247F9E"/>
    <w:rsid w:val="00251DD8"/>
    <w:rsid w:val="00254DD7"/>
    <w:rsid w:val="00255314"/>
    <w:rsid w:val="002672C9"/>
    <w:rsid w:val="00267DC8"/>
    <w:rsid w:val="00270F99"/>
    <w:rsid w:val="002A0551"/>
    <w:rsid w:val="002B01F1"/>
    <w:rsid w:val="002B09F2"/>
    <w:rsid w:val="002B3A83"/>
    <w:rsid w:val="002D62F5"/>
    <w:rsid w:val="002E4690"/>
    <w:rsid w:val="00304541"/>
    <w:rsid w:val="00317D0F"/>
    <w:rsid w:val="00322F94"/>
    <w:rsid w:val="00333D55"/>
    <w:rsid w:val="0035471D"/>
    <w:rsid w:val="00363D41"/>
    <w:rsid w:val="0037594B"/>
    <w:rsid w:val="003801FB"/>
    <w:rsid w:val="003A00BD"/>
    <w:rsid w:val="003A7EA1"/>
    <w:rsid w:val="003B1B7C"/>
    <w:rsid w:val="003C14DE"/>
    <w:rsid w:val="003F065B"/>
    <w:rsid w:val="004135D7"/>
    <w:rsid w:val="004213FF"/>
    <w:rsid w:val="0042245A"/>
    <w:rsid w:val="0045732B"/>
    <w:rsid w:val="00461967"/>
    <w:rsid w:val="00463BB9"/>
    <w:rsid w:val="00476878"/>
    <w:rsid w:val="00492CB1"/>
    <w:rsid w:val="004A1CD3"/>
    <w:rsid w:val="004A3681"/>
    <w:rsid w:val="004D3219"/>
    <w:rsid w:val="004D64FF"/>
    <w:rsid w:val="004E41BC"/>
    <w:rsid w:val="00505B94"/>
    <w:rsid w:val="005174A9"/>
    <w:rsid w:val="005438E5"/>
    <w:rsid w:val="005523C2"/>
    <w:rsid w:val="0055488E"/>
    <w:rsid w:val="00577D7F"/>
    <w:rsid w:val="00580FC3"/>
    <w:rsid w:val="005848A6"/>
    <w:rsid w:val="005A47A2"/>
    <w:rsid w:val="005B3DA2"/>
    <w:rsid w:val="005D27EC"/>
    <w:rsid w:val="005E3368"/>
    <w:rsid w:val="0060487B"/>
    <w:rsid w:val="00605FE3"/>
    <w:rsid w:val="00616182"/>
    <w:rsid w:val="006236CE"/>
    <w:rsid w:val="006318D3"/>
    <w:rsid w:val="00632676"/>
    <w:rsid w:val="006445FE"/>
    <w:rsid w:val="006501C8"/>
    <w:rsid w:val="00660CD7"/>
    <w:rsid w:val="00661AC0"/>
    <w:rsid w:val="006647DE"/>
    <w:rsid w:val="006724E3"/>
    <w:rsid w:val="00673277"/>
    <w:rsid w:val="006C254E"/>
    <w:rsid w:val="006D7AA1"/>
    <w:rsid w:val="006F1CE2"/>
    <w:rsid w:val="006F605A"/>
    <w:rsid w:val="00733A0A"/>
    <w:rsid w:val="00757C7B"/>
    <w:rsid w:val="0077117D"/>
    <w:rsid w:val="00783CB4"/>
    <w:rsid w:val="007869FB"/>
    <w:rsid w:val="007922ED"/>
    <w:rsid w:val="007A2168"/>
    <w:rsid w:val="007A7CCF"/>
    <w:rsid w:val="007D0A98"/>
    <w:rsid w:val="007F2462"/>
    <w:rsid w:val="0080211C"/>
    <w:rsid w:val="00826A2A"/>
    <w:rsid w:val="00832BA1"/>
    <w:rsid w:val="00832E7E"/>
    <w:rsid w:val="0084637B"/>
    <w:rsid w:val="0087573C"/>
    <w:rsid w:val="00893C8D"/>
    <w:rsid w:val="008A2626"/>
    <w:rsid w:val="008A3612"/>
    <w:rsid w:val="008A57BE"/>
    <w:rsid w:val="008B0946"/>
    <w:rsid w:val="008B1A32"/>
    <w:rsid w:val="008B38F4"/>
    <w:rsid w:val="008E7F13"/>
    <w:rsid w:val="00905340"/>
    <w:rsid w:val="00926411"/>
    <w:rsid w:val="009A0D32"/>
    <w:rsid w:val="009B01A7"/>
    <w:rsid w:val="009B71B6"/>
    <w:rsid w:val="009B7B2A"/>
    <w:rsid w:val="009C3DE7"/>
    <w:rsid w:val="00A023D9"/>
    <w:rsid w:val="00A0443C"/>
    <w:rsid w:val="00A2190C"/>
    <w:rsid w:val="00A52596"/>
    <w:rsid w:val="00A53095"/>
    <w:rsid w:val="00A5499E"/>
    <w:rsid w:val="00A6010D"/>
    <w:rsid w:val="00A616B7"/>
    <w:rsid w:val="00A63B88"/>
    <w:rsid w:val="00A67DA5"/>
    <w:rsid w:val="00A87424"/>
    <w:rsid w:val="00A970F9"/>
    <w:rsid w:val="00AB3C7D"/>
    <w:rsid w:val="00AB4D1B"/>
    <w:rsid w:val="00AD087A"/>
    <w:rsid w:val="00AD59FC"/>
    <w:rsid w:val="00AE7EFD"/>
    <w:rsid w:val="00B10339"/>
    <w:rsid w:val="00B1285E"/>
    <w:rsid w:val="00B72583"/>
    <w:rsid w:val="00B83EE7"/>
    <w:rsid w:val="00BB4CE1"/>
    <w:rsid w:val="00BC05F6"/>
    <w:rsid w:val="00BD4D48"/>
    <w:rsid w:val="00BE7B10"/>
    <w:rsid w:val="00BF375A"/>
    <w:rsid w:val="00C03E43"/>
    <w:rsid w:val="00C14101"/>
    <w:rsid w:val="00C23067"/>
    <w:rsid w:val="00C46EC5"/>
    <w:rsid w:val="00C87808"/>
    <w:rsid w:val="00CB1CE0"/>
    <w:rsid w:val="00CD0577"/>
    <w:rsid w:val="00CD155C"/>
    <w:rsid w:val="00CE1EC6"/>
    <w:rsid w:val="00CE4D53"/>
    <w:rsid w:val="00D00F57"/>
    <w:rsid w:val="00D47A50"/>
    <w:rsid w:val="00D52BA2"/>
    <w:rsid w:val="00D57F13"/>
    <w:rsid w:val="00D6413F"/>
    <w:rsid w:val="00D66796"/>
    <w:rsid w:val="00D706EB"/>
    <w:rsid w:val="00D7543E"/>
    <w:rsid w:val="00D81BA5"/>
    <w:rsid w:val="00D92FB4"/>
    <w:rsid w:val="00DA6955"/>
    <w:rsid w:val="00DC359D"/>
    <w:rsid w:val="00DC5D11"/>
    <w:rsid w:val="00DD0A52"/>
    <w:rsid w:val="00DD39A8"/>
    <w:rsid w:val="00DF0AFB"/>
    <w:rsid w:val="00E04C33"/>
    <w:rsid w:val="00E10DA3"/>
    <w:rsid w:val="00E11779"/>
    <w:rsid w:val="00E16835"/>
    <w:rsid w:val="00E6180C"/>
    <w:rsid w:val="00E73E4D"/>
    <w:rsid w:val="00E74EB8"/>
    <w:rsid w:val="00E873FA"/>
    <w:rsid w:val="00E87B7E"/>
    <w:rsid w:val="00EA5758"/>
    <w:rsid w:val="00ED06C5"/>
    <w:rsid w:val="00F04E1C"/>
    <w:rsid w:val="00F35030"/>
    <w:rsid w:val="00F4439F"/>
    <w:rsid w:val="00F56F94"/>
    <w:rsid w:val="00F94D80"/>
    <w:rsid w:val="00F96643"/>
    <w:rsid w:val="00FA5EC6"/>
    <w:rsid w:val="00FB7FD3"/>
    <w:rsid w:val="00FC0931"/>
    <w:rsid w:val="00FD6061"/>
    <w:rsid w:val="00FF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6A31"/>
  <w15:docId w15:val="{A2FD38F8-0F20-42A6-98EB-3536BD58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14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C14DE"/>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basedOn w:val="Domylnaczcionkaakapitu"/>
    <w:uiPriority w:val="99"/>
    <w:unhideWhenUsed/>
    <w:rsid w:val="003C14DE"/>
    <w:rPr>
      <w:color w:val="0563C1" w:themeColor="hyperlink"/>
      <w:u w:val="single"/>
    </w:rPr>
  </w:style>
  <w:style w:type="paragraph" w:styleId="Akapitzlist">
    <w:name w:val="List Paragraph"/>
    <w:basedOn w:val="Normalny"/>
    <w:uiPriority w:val="34"/>
    <w:qFormat/>
    <w:rsid w:val="003C14D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B71B6"/>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table" w:styleId="Tabela-Siatka">
    <w:name w:val="Table Grid"/>
    <w:basedOn w:val="Standardowy"/>
    <w:uiPriority w:val="39"/>
    <w:rsid w:val="009B7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70F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0F99"/>
    <w:rPr>
      <w:rFonts w:ascii="Segoe UI" w:hAnsi="Segoe UI" w:cs="Segoe UI"/>
      <w:sz w:val="18"/>
      <w:szCs w:val="18"/>
    </w:rPr>
  </w:style>
  <w:style w:type="character" w:styleId="Odwoaniedokomentarza">
    <w:name w:val="annotation reference"/>
    <w:basedOn w:val="Domylnaczcionkaakapitu"/>
    <w:uiPriority w:val="99"/>
    <w:semiHidden/>
    <w:unhideWhenUsed/>
    <w:rsid w:val="006236CE"/>
    <w:rPr>
      <w:sz w:val="16"/>
      <w:szCs w:val="16"/>
    </w:rPr>
  </w:style>
  <w:style w:type="paragraph" w:styleId="Tekstkomentarza">
    <w:name w:val="annotation text"/>
    <w:basedOn w:val="Normalny"/>
    <w:link w:val="TekstkomentarzaZnak"/>
    <w:uiPriority w:val="99"/>
    <w:unhideWhenUsed/>
    <w:rsid w:val="006236CE"/>
    <w:pPr>
      <w:spacing w:line="240" w:lineRule="auto"/>
    </w:pPr>
    <w:rPr>
      <w:sz w:val="20"/>
      <w:szCs w:val="20"/>
    </w:rPr>
  </w:style>
  <w:style w:type="character" w:customStyle="1" w:styleId="TekstkomentarzaZnak">
    <w:name w:val="Tekst komentarza Znak"/>
    <w:basedOn w:val="Domylnaczcionkaakapitu"/>
    <w:link w:val="Tekstkomentarza"/>
    <w:uiPriority w:val="99"/>
    <w:rsid w:val="006236CE"/>
    <w:rPr>
      <w:sz w:val="20"/>
      <w:szCs w:val="20"/>
    </w:rPr>
  </w:style>
  <w:style w:type="paragraph" w:styleId="Tematkomentarza">
    <w:name w:val="annotation subject"/>
    <w:basedOn w:val="Tekstkomentarza"/>
    <w:next w:val="Tekstkomentarza"/>
    <w:link w:val="TematkomentarzaZnak"/>
    <w:uiPriority w:val="99"/>
    <w:semiHidden/>
    <w:unhideWhenUsed/>
    <w:rsid w:val="006236CE"/>
    <w:rPr>
      <w:b/>
      <w:bCs/>
    </w:rPr>
  </w:style>
  <w:style w:type="character" w:customStyle="1" w:styleId="TematkomentarzaZnak">
    <w:name w:val="Temat komentarza Znak"/>
    <w:basedOn w:val="TekstkomentarzaZnak"/>
    <w:link w:val="Tematkomentarza"/>
    <w:uiPriority w:val="99"/>
    <w:semiHidden/>
    <w:rsid w:val="006236CE"/>
    <w:rPr>
      <w:b/>
      <w:bCs/>
      <w:sz w:val="20"/>
      <w:szCs w:val="20"/>
    </w:rPr>
  </w:style>
  <w:style w:type="paragraph" w:styleId="Poprawka">
    <w:name w:val="Revision"/>
    <w:hidden/>
    <w:uiPriority w:val="99"/>
    <w:semiHidden/>
    <w:rsid w:val="00463BB9"/>
    <w:pPr>
      <w:spacing w:after="0" w:line="240" w:lineRule="auto"/>
    </w:pPr>
  </w:style>
  <w:style w:type="character" w:customStyle="1" w:styleId="Nierozpoznanawzmianka1">
    <w:name w:val="Nierozpoznana wzmianka1"/>
    <w:basedOn w:val="Domylnaczcionkaakapitu"/>
    <w:uiPriority w:val="99"/>
    <w:semiHidden/>
    <w:unhideWhenUsed/>
    <w:rsid w:val="00605FE3"/>
    <w:rPr>
      <w:color w:val="605E5C"/>
      <w:shd w:val="clear" w:color="auto" w:fill="E1DFDD"/>
    </w:rPr>
  </w:style>
  <w:style w:type="paragraph" w:styleId="Tekstprzypisudolnego">
    <w:name w:val="footnote text"/>
    <w:basedOn w:val="Normalny"/>
    <w:link w:val="TekstprzypisudolnegoZnak"/>
    <w:uiPriority w:val="99"/>
    <w:semiHidden/>
    <w:unhideWhenUsed/>
    <w:rsid w:val="001441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4122"/>
    <w:rPr>
      <w:sz w:val="20"/>
      <w:szCs w:val="20"/>
    </w:rPr>
  </w:style>
  <w:style w:type="character" w:styleId="Odwoanieprzypisudolnego">
    <w:name w:val="footnote reference"/>
    <w:basedOn w:val="Domylnaczcionkaakapitu"/>
    <w:uiPriority w:val="99"/>
    <w:semiHidden/>
    <w:unhideWhenUsed/>
    <w:rsid w:val="001441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86">
      <w:bodyDiv w:val="1"/>
      <w:marLeft w:val="0"/>
      <w:marRight w:val="0"/>
      <w:marTop w:val="0"/>
      <w:marBottom w:val="0"/>
      <w:divBdr>
        <w:top w:val="none" w:sz="0" w:space="0" w:color="auto"/>
        <w:left w:val="none" w:sz="0" w:space="0" w:color="auto"/>
        <w:bottom w:val="none" w:sz="0" w:space="0" w:color="auto"/>
        <w:right w:val="none" w:sz="0" w:space="0" w:color="auto"/>
      </w:divBdr>
    </w:div>
    <w:div w:id="44106457">
      <w:bodyDiv w:val="1"/>
      <w:marLeft w:val="0"/>
      <w:marRight w:val="0"/>
      <w:marTop w:val="0"/>
      <w:marBottom w:val="0"/>
      <w:divBdr>
        <w:top w:val="none" w:sz="0" w:space="0" w:color="auto"/>
        <w:left w:val="none" w:sz="0" w:space="0" w:color="auto"/>
        <w:bottom w:val="none" w:sz="0" w:space="0" w:color="auto"/>
        <w:right w:val="none" w:sz="0" w:space="0" w:color="auto"/>
      </w:divBdr>
      <w:divsChild>
        <w:div w:id="1638098631">
          <w:marLeft w:val="0"/>
          <w:marRight w:val="0"/>
          <w:marTop w:val="0"/>
          <w:marBottom w:val="0"/>
          <w:divBdr>
            <w:top w:val="none" w:sz="0" w:space="0" w:color="auto"/>
            <w:left w:val="none" w:sz="0" w:space="0" w:color="auto"/>
            <w:bottom w:val="none" w:sz="0" w:space="0" w:color="auto"/>
            <w:right w:val="none" w:sz="0" w:space="0" w:color="auto"/>
          </w:divBdr>
        </w:div>
        <w:div w:id="1244415394">
          <w:marLeft w:val="0"/>
          <w:marRight w:val="0"/>
          <w:marTop w:val="0"/>
          <w:marBottom w:val="0"/>
          <w:divBdr>
            <w:top w:val="none" w:sz="0" w:space="0" w:color="auto"/>
            <w:left w:val="none" w:sz="0" w:space="0" w:color="auto"/>
            <w:bottom w:val="none" w:sz="0" w:space="0" w:color="auto"/>
            <w:right w:val="none" w:sz="0" w:space="0" w:color="auto"/>
          </w:divBdr>
          <w:divsChild>
            <w:div w:id="1186561441">
              <w:marLeft w:val="0"/>
              <w:marRight w:val="0"/>
              <w:marTop w:val="0"/>
              <w:marBottom w:val="0"/>
              <w:divBdr>
                <w:top w:val="none" w:sz="0" w:space="0" w:color="auto"/>
                <w:left w:val="none" w:sz="0" w:space="0" w:color="auto"/>
                <w:bottom w:val="none" w:sz="0" w:space="0" w:color="auto"/>
                <w:right w:val="none" w:sz="0" w:space="0" w:color="auto"/>
              </w:divBdr>
              <w:divsChild>
                <w:div w:id="2402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8145">
          <w:marLeft w:val="0"/>
          <w:marRight w:val="0"/>
          <w:marTop w:val="0"/>
          <w:marBottom w:val="0"/>
          <w:divBdr>
            <w:top w:val="none" w:sz="0" w:space="0" w:color="auto"/>
            <w:left w:val="none" w:sz="0" w:space="0" w:color="auto"/>
            <w:bottom w:val="none" w:sz="0" w:space="0" w:color="auto"/>
            <w:right w:val="none" w:sz="0" w:space="0" w:color="auto"/>
          </w:divBdr>
          <w:divsChild>
            <w:div w:id="1564027082">
              <w:marLeft w:val="0"/>
              <w:marRight w:val="0"/>
              <w:marTop w:val="0"/>
              <w:marBottom w:val="0"/>
              <w:divBdr>
                <w:top w:val="none" w:sz="0" w:space="0" w:color="auto"/>
                <w:left w:val="none" w:sz="0" w:space="0" w:color="auto"/>
                <w:bottom w:val="none" w:sz="0" w:space="0" w:color="auto"/>
                <w:right w:val="none" w:sz="0" w:space="0" w:color="auto"/>
              </w:divBdr>
              <w:divsChild>
                <w:div w:id="16461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4140">
      <w:bodyDiv w:val="1"/>
      <w:marLeft w:val="0"/>
      <w:marRight w:val="0"/>
      <w:marTop w:val="0"/>
      <w:marBottom w:val="0"/>
      <w:divBdr>
        <w:top w:val="none" w:sz="0" w:space="0" w:color="auto"/>
        <w:left w:val="none" w:sz="0" w:space="0" w:color="auto"/>
        <w:bottom w:val="none" w:sz="0" w:space="0" w:color="auto"/>
        <w:right w:val="none" w:sz="0" w:space="0" w:color="auto"/>
      </w:divBdr>
    </w:div>
    <w:div w:id="1120688903">
      <w:bodyDiv w:val="1"/>
      <w:marLeft w:val="0"/>
      <w:marRight w:val="0"/>
      <w:marTop w:val="0"/>
      <w:marBottom w:val="0"/>
      <w:divBdr>
        <w:top w:val="none" w:sz="0" w:space="0" w:color="auto"/>
        <w:left w:val="none" w:sz="0" w:space="0" w:color="auto"/>
        <w:bottom w:val="none" w:sz="0" w:space="0" w:color="auto"/>
        <w:right w:val="none" w:sz="0" w:space="0" w:color="auto"/>
      </w:divBdr>
      <w:divsChild>
        <w:div w:id="1541817238">
          <w:marLeft w:val="0"/>
          <w:marRight w:val="0"/>
          <w:marTop w:val="0"/>
          <w:marBottom w:val="0"/>
          <w:divBdr>
            <w:top w:val="none" w:sz="0" w:space="0" w:color="auto"/>
            <w:left w:val="none" w:sz="0" w:space="0" w:color="auto"/>
            <w:bottom w:val="none" w:sz="0" w:space="0" w:color="auto"/>
            <w:right w:val="none" w:sz="0" w:space="0" w:color="auto"/>
          </w:divBdr>
        </w:div>
        <w:div w:id="1335955588">
          <w:marLeft w:val="0"/>
          <w:marRight w:val="0"/>
          <w:marTop w:val="0"/>
          <w:marBottom w:val="0"/>
          <w:divBdr>
            <w:top w:val="none" w:sz="0" w:space="0" w:color="auto"/>
            <w:left w:val="none" w:sz="0" w:space="0" w:color="auto"/>
            <w:bottom w:val="none" w:sz="0" w:space="0" w:color="auto"/>
            <w:right w:val="none" w:sz="0" w:space="0" w:color="auto"/>
          </w:divBdr>
          <w:divsChild>
            <w:div w:id="856042164">
              <w:marLeft w:val="0"/>
              <w:marRight w:val="0"/>
              <w:marTop w:val="0"/>
              <w:marBottom w:val="0"/>
              <w:divBdr>
                <w:top w:val="none" w:sz="0" w:space="0" w:color="auto"/>
                <w:left w:val="none" w:sz="0" w:space="0" w:color="auto"/>
                <w:bottom w:val="none" w:sz="0" w:space="0" w:color="auto"/>
                <w:right w:val="none" w:sz="0" w:space="0" w:color="auto"/>
              </w:divBdr>
              <w:divsChild>
                <w:div w:id="15273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5968">
          <w:marLeft w:val="0"/>
          <w:marRight w:val="0"/>
          <w:marTop w:val="0"/>
          <w:marBottom w:val="0"/>
          <w:divBdr>
            <w:top w:val="none" w:sz="0" w:space="0" w:color="auto"/>
            <w:left w:val="none" w:sz="0" w:space="0" w:color="auto"/>
            <w:bottom w:val="none" w:sz="0" w:space="0" w:color="auto"/>
            <w:right w:val="none" w:sz="0" w:space="0" w:color="auto"/>
          </w:divBdr>
          <w:divsChild>
            <w:div w:id="699403703">
              <w:marLeft w:val="0"/>
              <w:marRight w:val="0"/>
              <w:marTop w:val="0"/>
              <w:marBottom w:val="0"/>
              <w:divBdr>
                <w:top w:val="none" w:sz="0" w:space="0" w:color="auto"/>
                <w:left w:val="none" w:sz="0" w:space="0" w:color="auto"/>
                <w:bottom w:val="none" w:sz="0" w:space="0" w:color="auto"/>
                <w:right w:val="none" w:sz="0" w:space="0" w:color="auto"/>
              </w:divBdr>
              <w:divsChild>
                <w:div w:id="3537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50240">
      <w:bodyDiv w:val="1"/>
      <w:marLeft w:val="0"/>
      <w:marRight w:val="0"/>
      <w:marTop w:val="0"/>
      <w:marBottom w:val="0"/>
      <w:divBdr>
        <w:top w:val="none" w:sz="0" w:space="0" w:color="auto"/>
        <w:left w:val="none" w:sz="0" w:space="0" w:color="auto"/>
        <w:bottom w:val="none" w:sz="0" w:space="0" w:color="auto"/>
        <w:right w:val="none" w:sz="0" w:space="0" w:color="auto"/>
      </w:divBdr>
    </w:div>
    <w:div w:id="20436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B9041-6D08-4582-A615-29B2C195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2367</Words>
  <Characters>14202</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Gburek Ewelina</dc:creator>
  <cp:lastModifiedBy>Banaszak Wojciech</cp:lastModifiedBy>
  <cp:revision>7</cp:revision>
  <dcterms:created xsi:type="dcterms:W3CDTF">2023-09-12T06:51:00Z</dcterms:created>
  <dcterms:modified xsi:type="dcterms:W3CDTF">2023-09-13T10:31:00Z</dcterms:modified>
</cp:coreProperties>
</file>