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D58F" w14:textId="05BBD568" w:rsidR="00F94CF2" w:rsidRPr="00F94CF2" w:rsidRDefault="00F94CF2" w:rsidP="00F94CF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  <w14:ligatures w14:val="none"/>
        </w:rPr>
      </w:pPr>
      <w:r w:rsidRPr="00F94CF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  <w14:ligatures w14:val="none"/>
        </w:rPr>
        <w:t>UZASADNIENIE</w:t>
      </w:r>
      <w:r w:rsidR="0075057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  <w14:ligatures w14:val="none"/>
        </w:rPr>
        <w:t xml:space="preserve"> </w:t>
      </w:r>
    </w:p>
    <w:p w14:paraId="2BF6AABD" w14:textId="3C54B30C" w:rsidR="00F94CF2" w:rsidRPr="00644DA4" w:rsidRDefault="00F94CF2" w:rsidP="00E00B7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Rozporządzenie Ministra Cyfryzacji w sprawie udzielania pomocy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na wsparcie przedsiębiorstw wodociągowo-kanalizacyjnych w zakresie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w ramach Krajowego Planu Odbudowy i Zwiększania Odporności</w:t>
      </w:r>
      <w:r w:rsidR="00E00B7B" w:rsidRPr="00644DA4">
        <w:rPr>
          <w:rFonts w:ascii="Times" w:eastAsia="Times New Roman" w:hAnsi="Times" w:cs="Arial"/>
          <w:bCs/>
          <w:strike/>
          <w:kern w:val="0"/>
          <w:szCs w:val="20"/>
          <w:lang w:eastAsia="pl-PL"/>
          <w14:ligatures w14:val="none"/>
        </w:rPr>
        <w:t>,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dalej zwane „rozporządzeniem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”, ma na celu wsparcie przedsiębiorstw wodociągowo-kanalizacyjnych w zapewnianiu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w ramach Krajowego Planu Odbudowy i Zwiększania Odporności, dalej zwane</w:t>
      </w:r>
      <w:r w:rsidR="00493D1B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go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„KPO”. </w:t>
      </w:r>
    </w:p>
    <w:p w14:paraId="3100DBB2" w14:textId="0EF78E9D" w:rsidR="00F94CF2" w:rsidRPr="00644DA4" w:rsidRDefault="00F94CF2" w:rsidP="00493D1B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Plan rozwojowy – KPO zgodnie z definicją zawartą w ustawie z dnia 6 grudnia 2006 r. </w:t>
      </w:r>
      <w:r w:rsidR="00CE102C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o zasadach prowadzenia polityki rozwoju (Dz. U. z 2025 r. poz. 198), dalej zwane „ustawą”, to dokument, o którym mowa w art. 17 ust. 1 rozporządzenia Parlamentu Europejskiego i Rady (UE) 2021/241 z dnia 12 lutego 2021 r. ustanawiającego Instrument na rzecz Odbudowy </w:t>
      </w:r>
      <w:r w:rsidR="00CE102C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i Zwiększania Odporności (Dz. Urz. UE L 57 z 18.02.2021, str. 17, z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późn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. zm.), stanowiący podstawę realizacji reform i inwestycji objętych wsparciem ze środków europejskiego Instrumentu na rzecz Odbudowy i Zwiększania Odporności (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Recovery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and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Resilience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Facility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– RRF).</w:t>
      </w:r>
      <w:r w:rsidRPr="00644DA4" w:rsidDel="00CA7F8F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KPO jest dokumentem programowym określającym cele związane z odbudową i tworzeniem odporności społeczno-gospodarczej Polski po kryzysie wywołanym pandemią COVID-19. Jego realizacja służy promowaniu spójności gospodarczej, społecznej </w:t>
      </w:r>
      <w:r w:rsidR="00CE102C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i terytorialnej przez zwiększenie odporności, gotowości na wypadek sytuacji kryzysowych, zdolności dostosowawczych i potencjału wzrostu gospodarczego, łagodzeniu społecznych </w:t>
      </w:r>
      <w:r w:rsidR="00CE102C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i gospodarczych skutków kryzysu wywołanego pandemią COVID-19, wspieraniu zielonej transformacji, przyczynianiu się do realizacji unijnych celów w zakresie klimatu oraz transformacji cyfrowej. KPO koncentruje swoje działania na sześciu europejskich filarach </w:t>
      </w:r>
      <w:r w:rsidR="00CE102C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w ramach odpowiedzi na kryzys i budowę odporności: </w:t>
      </w:r>
    </w:p>
    <w:p w14:paraId="08F8F6A3" w14:textId="77777777" w:rsidR="00F94CF2" w:rsidRPr="00644DA4" w:rsidRDefault="00F94CF2" w:rsidP="00F94CF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zielona transformacja;</w:t>
      </w:r>
    </w:p>
    <w:p w14:paraId="521A7CD1" w14:textId="77777777" w:rsidR="00F94CF2" w:rsidRPr="00644DA4" w:rsidRDefault="00F94CF2" w:rsidP="00F94CF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transformacja cyfrowa;</w:t>
      </w:r>
    </w:p>
    <w:p w14:paraId="5D334134" w14:textId="77777777" w:rsidR="00F94CF2" w:rsidRPr="00644DA4" w:rsidRDefault="00F94CF2" w:rsidP="00F94CF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inteligentny i trwały wzrost sprzyjający włączeniu społecznemu;</w:t>
      </w:r>
    </w:p>
    <w:p w14:paraId="12595B95" w14:textId="77777777" w:rsidR="00F94CF2" w:rsidRPr="00644DA4" w:rsidRDefault="00F94CF2" w:rsidP="00F94CF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spójność społeczna i terytorialna;</w:t>
      </w:r>
    </w:p>
    <w:p w14:paraId="091B27FE" w14:textId="77777777" w:rsidR="00F94CF2" w:rsidRPr="00644DA4" w:rsidRDefault="00F94CF2" w:rsidP="00F94CF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opieka zdrowotna oraz odporność gospodarcza, społeczna i instytucjonalna;</w:t>
      </w:r>
    </w:p>
    <w:p w14:paraId="71D9EBF9" w14:textId="77777777" w:rsidR="00F94CF2" w:rsidRPr="00644DA4" w:rsidRDefault="00F94CF2" w:rsidP="00F94CF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polityki na rzecz następnego pokolenia, takie jak edukacja i umiejętności. </w:t>
      </w:r>
    </w:p>
    <w:p w14:paraId="503EB235" w14:textId="7F35B887" w:rsidR="00F94CF2" w:rsidRPr="00644DA4" w:rsidRDefault="00F94CF2" w:rsidP="00CE102C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Interwencje KPO uzupełnią i rozszerzą podejmowane dotychczas przez rząd i samorządy działania doraźne i antyrecesyjne na rzecz sektorów i przedsiębiorców. Dla osiągnięcia zakładanych celów KPO, Polska planuje podjęcie szeregu kluczowych reform oraz towarzyszących im inwestycji, które pozwolą nie tylko przezwyciężyć kryzys po pandemiczny,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lastRenderedPageBreak/>
        <w:t>ale także przyśpieszyć, w ciągu najbliższych kilku lat w okresie jego realizacji, transformację gospodarki polskiej i europejskiej oraz zwiększyć poziom życia Polaków. Realizacja KPO została skoncentrowana wokół następujących sześciu komponentów, stanowiących obszary koncentracji reform i inwestycji: A. Odporność i konkurencyjność gospodarki; B. Zielona energia i zmniejszenie energochłonności; C. Transformacja cyfrowa; D. Efektywność, dostępność i jakość systemu ochrony zdrowia; E. Zielona, inteligentna mobilność; F. Poprawa jakości instytucji i warunków realizacji KPO.</w:t>
      </w:r>
    </w:p>
    <w:p w14:paraId="104773BF" w14:textId="4AF514F8" w:rsidR="00F94CF2" w:rsidRPr="00644DA4" w:rsidRDefault="00F94CF2" w:rsidP="00F94CF2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W KPO przewidziano realizację inwestycji C3.1.1 „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Cyberbezpieczeństwo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–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CyberPL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, infrastruktura przetwarzania danych optymalizacja infrastruktury służb państwowych odpowiedzialnych za bezpieczeństwo”, której celem jest w szczególności wzmocnienie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cyberodporności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systemów informacyjnych (IT i OT) wykorzystywanych w podmiotach wchodzących w skład krajowego systemu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, zapewnienie wysoce wydajnej, energooszczędnej i skalowalnej infrastruktury obliczeniowej, zwiększenie bezpieczeństwa ciągłości jej działania oraz odporności na zakłócenia, tj. skutki zagrożeń epidemiologicznych, jak również zwiększenie wydajności i wydolności systemów bezpieczeństwa publicznego oraz zwiększenie możliwości infrastrukturalnych w zakresie bezpieczeństwa publicznego. W ramach komponentu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Cyberbezpieczeństwo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(program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CyberPL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) realizowany jest m.in. obszar interwencji pn. KSC – PL – Program podniesienia skuteczności funkcjonowania krajowego systemu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, w skład którego wchodzi niniejsze przedsięwzięcie. Celem tego programu jest m.in. uzyskanie rozszerzonej świadomości sytuacyjnej oraz systemowego wsparcia operacyjnego w reagowaniu na incydenty poprzez m.in. wzmocnienie potencjału i modernizacja infrastruktury (IT i OT) podmiotów krajowego systemu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oraz innych podmiotów kluczowych, szczególnie operatorów usług kluczowych poprzez m.in. modernizację sprzętu </w:t>
      </w:r>
      <w:r w:rsidR="00CE102C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i oprogramowania, podniesienie jakości oprogramowania, urządzeń i usług. Ponadto istotnym elementem obszaru jest zapewnienie systemowego programu podnoszącego świadomość, wiedzę i kompetencje kadr w podmiotach krajowego systemu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. Jako obszar szczególnie istotny zidentyfikowano w tym zakresie przedsiębiorstwa wodociągowo-kanalizacyjne. Jest to obszar, w którym szeroko wykorzystywane są technologie operacyjne (OT), a świadczone usługi służą realizacji zadań publicznych i są realizowane w większości przez jednostki organizacyjne jednostek samorządu terytorialnego lub przez samorządowe osoby prawne. Są to więc usługi szczególnie istotne dla obywateli, a równocześnie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lastRenderedPageBreak/>
        <w:t>są one szczególnie narażone na cyberataki. W związku z powyższym konieczne jest wzmocnienie tych podmiotów.</w:t>
      </w:r>
    </w:p>
    <w:p w14:paraId="20302DB9" w14:textId="77777777" w:rsidR="00F94CF2" w:rsidRPr="00644DA4" w:rsidRDefault="00F94CF2" w:rsidP="00F94CF2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Realizacja powyższych działań przyczyni się do wzmocnienia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cyberodporności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systemów informacyjnych (IT i OT) wykorzystywanych w tych podmiotach, w tym do zwiększenia bezpieczeństwa, ciągłości ich działania oraz zwiększenia wydajności.</w:t>
      </w:r>
    </w:p>
    <w:p w14:paraId="7356C2AF" w14:textId="77777777" w:rsidR="00F94CF2" w:rsidRPr="00644DA4" w:rsidRDefault="00F94CF2" w:rsidP="00F94CF2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Przedsięwzięcie to przyczyni się również do podniesienia skuteczności funkcjonowania krajowego systemu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, tj. m.in. uzyskania rozszerzonej świadomości sytuacyjnej oraz systemowego wsparcia operacyjnego w reagowaniu na incydenty poprzez m.in. wzmocnienie potencjału (IT i OT) przedsiębiorstw wodociągowo-kanalizacyjnych poprzez m.in. modernizację sprzętu i oprogramowania.</w:t>
      </w:r>
    </w:p>
    <w:p w14:paraId="6277A16B" w14:textId="63E5080F" w:rsidR="00F94CF2" w:rsidRPr="00644DA4" w:rsidRDefault="00F94CF2" w:rsidP="00F94CF2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Technologie operacyjne (OT) obejmują szeroki zakres programowalnych systemów i urządzeń, które wchodzą w interakcję ze środowiskiem fizycznym (lub zarządzają urządzeniami, które wchodzą w interakcję ze środowiskiem fizycznym). Te systemy i urządzenia wykrywają lub powodują bezpośrednie zmiany poprzez monitorowanie i/lub kontrolę sprzętu, procesów </w:t>
      </w:r>
      <w:r w:rsidR="00CE102C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i zdarzeń. Przykładami OT są systemy SCADA, kontrolery PLC, systemy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Andon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, czujniki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IIoT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(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Industrial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Internet of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Things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), systemy Embedded, elektroniczny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Kanban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(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eKanban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), systemy HMI (Human Machine Interface), itd. OT jest krytyczne z punktu widzenia przedsiębiorstw </w:t>
      </w:r>
      <w:r w:rsidR="00CE102C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i ciągłości biznesowej jego procesów wytwórczych.</w:t>
      </w:r>
    </w:p>
    <w:p w14:paraId="22786ACD" w14:textId="657A9D43" w:rsidR="00F94CF2" w:rsidRPr="00644DA4" w:rsidRDefault="00F94CF2" w:rsidP="00F94CF2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Na podstawie projektowanego rozporządzenia wsparcie udzielane będzie w ramach</w:t>
      </w:r>
      <w:r w:rsidR="0077649D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,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 wchodzącej w skład komponentu C Transformacja cyfrowa</w:t>
      </w:r>
      <w:r w:rsidR="00493D1B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, </w:t>
      </w:r>
      <w:r w:rsidR="0077649D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inwestycji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C3.1.1 „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Cyberbezpieczeństwo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–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CyberPL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, infrastruktura przetwarzania danych oraz optymalizacja infrastruktury służb państwowych odpowiedzialnych za bezpieczeństwo”. W tym względzie realizowane działania w ramach inwestycji mają na celu zapewnienie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przedsiębiorstw wodociągowo-kanalizacyjnych. W ramach KPO za realizację reform i</w:t>
      </w:r>
      <w:r w:rsidR="0087353C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 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inwestycji odpowiadają instytucje odpowiedzialne za realizacje reform i instytucje odpowiedzialne za realizacje inwestycji. Zgodnie z definicją zawartą w ustawie instytucją odpowiedzialną za realizację inwestycji jest minister kierujący działem administracji rządowej, któremu zgodnie z planem rozwojowym zostało powierzone to zadanie. Instytucja odpowiedzialna za realizację inwestycji może powierzyć realizację zadań związanych z</w:t>
      </w:r>
      <w:r w:rsidR="0087353C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 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realizacją inwestycji jednostce wspierającej plan rozwojowy. Instytucją odpowiedzialną za realizację przedmiotowej inwestycji jest Minister Cyfryzacji i to on jest odpowiedzialny za wydanie programu pomocowego. Podstawą do wydania rozporządzenia przez Ministra Cyfryzacji jest art. 14lc ust. 4 ustawy, w którym zawarta została delegacja do wydawania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lastRenderedPageBreak/>
        <w:t xml:space="preserve">programów pomocowych (rozporządzeń) w przypadku wsparcia stanowiącego pomoc publiczną lub pomoc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udzielaną w ramach KPO przez ministra właściwego pełniącego funkcję instytucji odpowiedzialnej za realizację inwestycji.</w:t>
      </w:r>
    </w:p>
    <w:p w14:paraId="00A607A7" w14:textId="77777777" w:rsidR="00F94CF2" w:rsidRPr="00644DA4" w:rsidRDefault="00F94CF2" w:rsidP="00F94CF2">
      <w:pPr>
        <w:suppressAutoHyphens/>
        <w:autoSpaceDE w:val="0"/>
        <w:autoSpaceDN w:val="0"/>
        <w:adjustRightInd w:val="0"/>
        <w:spacing w:before="120" w:after="120" w:line="360" w:lineRule="auto"/>
        <w:ind w:firstLine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Przedmiotowy projekt wpisuje się w następujące dokumenty strategiczne:</w:t>
      </w:r>
    </w:p>
    <w:p w14:paraId="7C804896" w14:textId="77777777" w:rsidR="00F94CF2" w:rsidRPr="00644DA4" w:rsidRDefault="00F94CF2" w:rsidP="00F94CF2">
      <w:pPr>
        <w:suppressAutoHyphens/>
        <w:autoSpaceDE w:val="0"/>
        <w:autoSpaceDN w:val="0"/>
        <w:adjustRightInd w:val="0"/>
        <w:spacing w:before="120" w:after="120" w:line="360" w:lineRule="auto"/>
        <w:ind w:firstLine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1) Cele Programu Zintegrowanej Informatyzacji Państwa (PZIP), w odniesieniu do 4.2.2. „Wzmocnienie dojrzałości organizacyjnej jednostek administracji publicznej oraz usprawnienie zaplecza elektronicznej administracji (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back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office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)” oraz 4.2.3. „Podniesienie poziomu kompetencji cyfrowych obywateli, specjalistów TIK oraz pracowników administracji publicznej”. Przedsięwzięcie realizuje kierunek interwencji 5.2.2. Zarządzanie infrastrukturą IT.</w:t>
      </w:r>
    </w:p>
    <w:p w14:paraId="606DA82A" w14:textId="1ED06F91" w:rsidR="00F94CF2" w:rsidRPr="00644DA4" w:rsidRDefault="00F94CF2" w:rsidP="00CE102C">
      <w:pPr>
        <w:suppressAutoHyphens/>
        <w:autoSpaceDE w:val="0"/>
        <w:autoSpaceDN w:val="0"/>
        <w:adjustRightInd w:val="0"/>
        <w:spacing w:before="120" w:after="120" w:line="360" w:lineRule="auto"/>
        <w:ind w:firstLine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2) Realizacja Strategii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Rzeczypospolitej Polskiej na lata 2019–2024, w tym, w szczególności celu szczegółowego nr 1 – rozwój krajowego systemu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oraz celu szczegółowego nr 2 – Podniesienie poziomu odporności systemów informacyjnych administracji publicznej i sektora prywatnego oraz osiągnięcie zdolności do skutecznego zapobiegania i reagowania na incydenty.</w:t>
      </w:r>
    </w:p>
    <w:p w14:paraId="69D93A6F" w14:textId="7B935805" w:rsidR="00F94CF2" w:rsidRPr="00644DA4" w:rsidRDefault="00F94CF2" w:rsidP="00CE102C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Projekt rozporządzenia szczegółowo określa cel pomocy wskazując, że wsparcie otrzyma jedynie ograniczona grupa podmiotów z sektora wodociągowo-kanalizacyjnego. Konkursowy tryb naboru wniosków zapewni, że pomoc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otrzymają podmioty, które najlepiej mogą wykorzystać dodatkowe środki. Zapewni to efektywne i skuteczne wykorzystanie tej pomocy.</w:t>
      </w:r>
      <w:r w:rsidR="00720128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Równocześnie konkursowy model wyboru wniosków, które otrzymają dofinansowanie, zapewnia niezbędną przejrzystość tego procesu. </w:t>
      </w:r>
    </w:p>
    <w:p w14:paraId="4DA392BC" w14:textId="77777777" w:rsidR="00F94CF2" w:rsidRPr="00644DA4" w:rsidRDefault="00F94CF2" w:rsidP="00F94CF2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Żadne odrębne przepisy nie określają szczegółowego przeznaczenie, warunków lub trybu udzielania pomocy, o której mowa w projekcie rozporządzenia, w związku z czym konieczne jest określenie ich w przedmiotowym akcie prawnym. </w:t>
      </w:r>
    </w:p>
    <w:p w14:paraId="17410B0B" w14:textId="77FB94DD" w:rsidR="00F94CF2" w:rsidRPr="00644DA4" w:rsidRDefault="00F94CF2" w:rsidP="00F94CF2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Projekt rozporządzenia określa szczegółowe przeznaczenie, warunki i tryb udzielania pomocy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, do której mają zastosowanie przepisy rozporządzenia </w:t>
      </w:r>
      <w:r w:rsidRPr="00644DA4">
        <w:rPr>
          <w:rFonts w:ascii="Times" w:eastAsia="Times New Roman" w:hAnsi="Times" w:cs="Arial"/>
          <w:kern w:val="0"/>
          <w:szCs w:val="20"/>
          <w:lang w:eastAsia="pl-PL"/>
          <w14:ligatures w14:val="none"/>
        </w:rPr>
        <w:t xml:space="preserve">Komisji (UE) 2023/2831 z dnia 13 grudnia 2023 r. w sprawie stosowania art. 107 i 108 Traktatu o funkcjonowaniu Unii Europejskiej do pomocy de </w:t>
      </w:r>
      <w:proofErr w:type="spellStart"/>
      <w:r w:rsidRPr="00644DA4">
        <w:rPr>
          <w:rFonts w:ascii="Times" w:eastAsia="Times New Roman" w:hAnsi="Times" w:cs="Arial"/>
          <w:kern w:val="0"/>
          <w:szCs w:val="20"/>
          <w:lang w:eastAsia="pl-PL"/>
          <w14:ligatures w14:val="none"/>
        </w:rPr>
        <w:t>minimis</w:t>
      </w:r>
      <w:proofErr w:type="spellEnd"/>
      <w:r w:rsidR="00720128" w:rsidRPr="00644DA4">
        <w:rPr>
          <w:rFonts w:ascii="Times" w:eastAsia="Times New Roman" w:hAnsi="Times" w:cs="Arial"/>
          <w:kern w:val="0"/>
          <w:szCs w:val="20"/>
          <w:lang w:eastAsia="pl-PL"/>
          <w14:ligatures w14:val="none"/>
        </w:rPr>
        <w:t>,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a także podmioty udzielające tej pomocy.</w:t>
      </w:r>
    </w:p>
    <w:p w14:paraId="3551692F" w14:textId="77777777" w:rsidR="00F94CF2" w:rsidRPr="00644DA4" w:rsidRDefault="00F94CF2" w:rsidP="00F94CF2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W § 1 projektu rozporządzenia został określony zakres przedmiotowy projektowanego rozporządzenia.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  <w:t xml:space="preserve">W § 2 projektu rozporządzenia zdefiniowane zostały podstawowe pojęcia, którymi posługuje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lastRenderedPageBreak/>
        <w:t xml:space="preserve">się projektowane rozporządzenie, tj. definicje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, przedsiębiorstwa wodociągowo-kanalizacyjnego oraz przedsięwzięcia. </w:t>
      </w:r>
    </w:p>
    <w:p w14:paraId="0F3CEECB" w14:textId="10E8FC17" w:rsidR="00F94CF2" w:rsidRPr="00644DA4" w:rsidRDefault="00B23F52" w:rsidP="00720128">
      <w:pPr>
        <w:spacing w:after="12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Przepis 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§ 3 wskazuje, że wsparcie będzie udzielane w formie pomocy de </w:t>
      </w:r>
      <w:proofErr w:type="spellStart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zdefiniowanej w rozporządzenia Komisji (UE) 2023/2831 z dnia 13 grudnia 2023 r. w sprawie stosowania art. 107 i 108 Traktatu o funkcjonowaniu Unii Europejskiej do pomocy de </w:t>
      </w:r>
      <w:proofErr w:type="spellStart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, co zapewnia zgodność tej pomocy z rynkiem wewnętrznym Unii Europejskiej.</w:t>
      </w:r>
    </w:p>
    <w:p w14:paraId="2FA1967F" w14:textId="094420E7" w:rsidR="00F94CF2" w:rsidRPr="00644DA4" w:rsidRDefault="00B23F52" w:rsidP="00F94CF2">
      <w:pPr>
        <w:spacing w:after="12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Z kolei przepis 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§ 4 precyzuje jakim przedsiębiorstwom wodociągowo-kanalizacyjnym może być udzielane wsparcie w ramach niniejszego rozporządzenia. Będzie to przedsiębiorstwo wodociągowo-kanalizacyjne, które jest: </w:t>
      </w:r>
    </w:p>
    <w:p w14:paraId="65175B2E" w14:textId="0C101BFD" w:rsidR="00F94CF2" w:rsidRPr="00644DA4" w:rsidRDefault="00F94CF2" w:rsidP="00F94CF2">
      <w:pPr>
        <w:spacing w:after="0" w:line="360" w:lineRule="auto"/>
        <w:ind w:left="284" w:hanging="284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1)</w:t>
      </w:r>
      <w:r w:rsidR="00720128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ab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operatorem usług kluczowych w rozumieniu art. 5 ustawy z dnia 5 lipca 2018 o krajowym systemie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(Dz. U. z 2024 r. poz. 1077 i 1222), lub</w:t>
      </w:r>
    </w:p>
    <w:p w14:paraId="4C11D3C5" w14:textId="610E7048" w:rsidR="00F94CF2" w:rsidRPr="00644DA4" w:rsidRDefault="00F94CF2" w:rsidP="00F94CF2">
      <w:pPr>
        <w:spacing w:after="0" w:line="360" w:lineRule="auto"/>
        <w:ind w:left="284" w:hanging="284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2)</w:t>
      </w:r>
      <w:r w:rsidR="00720128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ab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spółką prawa handlowego wykonującą zadania o charakterze użyteczności publicznej w rozumieniu przepisów ustawy z dnia 20 grudnia 1996 r. o gospodarce komunalnej (Dz. U. z 2021 r. poz. 679), wykorzystując technologie operacyjne w przemysłowych systemach sterowania, lub</w:t>
      </w:r>
    </w:p>
    <w:p w14:paraId="62F60129" w14:textId="63573FEB" w:rsidR="00F94CF2" w:rsidRPr="00644DA4" w:rsidRDefault="00F94CF2" w:rsidP="00B84C8C">
      <w:pPr>
        <w:spacing w:after="0" w:line="360" w:lineRule="auto"/>
        <w:ind w:left="284" w:hanging="284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3)</w:t>
      </w:r>
      <w:r w:rsidR="00720128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jednostką sektora finansów publicznych, o której mowa w art. 9 pkt 2–4 ustawy z dnia</w:t>
      </w:r>
      <w:r w:rsidR="00720128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27 sierpnia 2009 r. o finansach publicznych (Dz. U. z 2024 r. poz. 1530, 1572, 1717, 1756, i 1907 oraz z 2025 r. poz. 39).</w:t>
      </w:r>
    </w:p>
    <w:p w14:paraId="12975E82" w14:textId="77777777" w:rsidR="00F94CF2" w:rsidRPr="00644DA4" w:rsidRDefault="00F94CF2" w:rsidP="00F94CF2">
      <w:pPr>
        <w:spacing w:after="12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Wystąpienie incydentu w tych podmiotach oraz przerwanie świadczenia usług może mieć szczególnie negatywny wpływ na funkcjonowanie państwa i społeczeństwa.</w:t>
      </w:r>
    </w:p>
    <w:p w14:paraId="5411682F" w14:textId="12419FD4" w:rsidR="00F94CF2" w:rsidRPr="00644DA4" w:rsidRDefault="00F94CF2" w:rsidP="00F94CF2">
      <w:pPr>
        <w:spacing w:after="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Zgodnie z § 5 wsparcie obejmie przedsięwzięcia zwiększające poziom bezpieczeństwa informacji przez wzmacnianie odporności oraz zdolności do skutecznego zapobiegania </w:t>
      </w:r>
      <w:r w:rsidR="00720128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i reagowania na incydenty w przedsiębiorstwach wodociągowo-kanalizacyjnych. W ramach niniejszego przedsięwzięcia planowane jest udzielenie wsparcia na inwestycje w 3 obszarach:</w:t>
      </w:r>
    </w:p>
    <w:p w14:paraId="3AD6AD70" w14:textId="77777777" w:rsidR="00F94CF2" w:rsidRPr="00644DA4" w:rsidRDefault="00F94CF2" w:rsidP="00F94CF2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1)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ab/>
        <w:t xml:space="preserve">wdrożenie środków organizacyjnych służących zapewnieniu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;</w:t>
      </w:r>
    </w:p>
    <w:p w14:paraId="58C87DC6" w14:textId="77777777" w:rsidR="00F94CF2" w:rsidRPr="00644DA4" w:rsidRDefault="00F94CF2" w:rsidP="00F94CF2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2)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ab/>
        <w:t xml:space="preserve">zakup lub modernizację środków technicznych służących zapewnieniu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;</w:t>
      </w:r>
    </w:p>
    <w:p w14:paraId="1E8DF7D6" w14:textId="77777777" w:rsidR="00F94CF2" w:rsidRPr="00644DA4" w:rsidRDefault="00F94CF2" w:rsidP="00F94CF2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3)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ab/>
      </w:r>
      <w:r w:rsidRPr="00644DA4">
        <w:rPr>
          <w:rFonts w:ascii="Times" w:eastAsia="Times New Roman" w:hAnsi="Times" w:cs="Arial"/>
          <w:kern w:val="0"/>
          <w:szCs w:val="20"/>
          <w:lang w:eastAsia="pl-PL"/>
          <w14:ligatures w14:val="none"/>
        </w:rPr>
        <w:t xml:space="preserve">rozwój kompetencji personelu w zakresie </w:t>
      </w:r>
      <w:proofErr w:type="spellStart"/>
      <w:r w:rsidRPr="00644DA4">
        <w:rPr>
          <w:rFonts w:ascii="Times" w:eastAsia="Times New Roman" w:hAnsi="Times" w:cs="Arial"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kern w:val="0"/>
          <w:szCs w:val="20"/>
          <w:lang w:eastAsia="pl-PL"/>
          <w14:ligatures w14:val="none"/>
        </w:rPr>
        <w:t xml:space="preserve">. </w:t>
      </w:r>
    </w:p>
    <w:p w14:paraId="47699D97" w14:textId="77777777" w:rsidR="00F94CF2" w:rsidRPr="00644DA4" w:rsidRDefault="00F94CF2" w:rsidP="00F94CF2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Przykładowe działania jakie mogą być finansowane w ramach obszaru 1 to: </w:t>
      </w:r>
    </w:p>
    <w:p w14:paraId="39CF8352" w14:textId="77777777" w:rsidR="00F94CF2" w:rsidRPr="00644DA4" w:rsidRDefault="00F94CF2" w:rsidP="0087353C">
      <w:pPr>
        <w:numPr>
          <w:ilvl w:val="0"/>
          <w:numId w:val="5"/>
        </w:numPr>
        <w:spacing w:after="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przegląd, aktualizacja lub opracowanie i wdrożenie systemu zarządzania bezpieczeństwem informacji,</w:t>
      </w:r>
    </w:p>
    <w:p w14:paraId="68EDB5FB" w14:textId="094276B7" w:rsidR="00F94CF2" w:rsidRPr="00644DA4" w:rsidRDefault="00F94CF2" w:rsidP="0087353C">
      <w:pPr>
        <w:numPr>
          <w:ilvl w:val="0"/>
          <w:numId w:val="5"/>
        </w:numPr>
        <w:spacing w:after="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lastRenderedPageBreak/>
        <w:t xml:space="preserve">wprowadzenie środków obejmujących m.in.: politykę analizy ryzyka </w:t>
      </w:r>
      <w:r w:rsidR="00720128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i bezpieczeństwa systemów informatycznych, obsługę incydentu, ciągłość działania i zarządzanie kryzysowe, polityki i procedury stosowania kryptografii</w:t>
      </w:r>
      <w:r w:rsidR="00720128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i szyfrowania, politykę kontroli dostępu, stosowanie uwierzytelniania wieloskładnikowego,</w:t>
      </w:r>
    </w:p>
    <w:p w14:paraId="026B4C2F" w14:textId="55D11016" w:rsidR="00F94CF2" w:rsidRPr="00644DA4" w:rsidRDefault="00F94CF2" w:rsidP="0087353C">
      <w:pPr>
        <w:numPr>
          <w:ilvl w:val="0"/>
          <w:numId w:val="5"/>
        </w:numPr>
        <w:spacing w:after="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audyt systemu zarządzania bezpieczeństwem informacji przeprowadzonego przez wykwalifikowanego audytora, stanowiącego dowód wdrożenia i stosowania ww. systemu w organizacji lub instytucji.</w:t>
      </w:r>
    </w:p>
    <w:p w14:paraId="69564D10" w14:textId="77777777" w:rsidR="00F94CF2" w:rsidRPr="00644DA4" w:rsidRDefault="00F94CF2" w:rsidP="00F94CF2">
      <w:pPr>
        <w:spacing w:after="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Przykładowe działania jakie mogą być finansowane w ramach obszaru 2 to: </w:t>
      </w:r>
    </w:p>
    <w:p w14:paraId="2ED73C2D" w14:textId="77777777" w:rsidR="00F94CF2" w:rsidRPr="00644DA4" w:rsidRDefault="00F94CF2" w:rsidP="0087353C">
      <w:pPr>
        <w:numPr>
          <w:ilvl w:val="0"/>
          <w:numId w:val="6"/>
        </w:numPr>
        <w:spacing w:after="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zakup i wdrożenie systemów teleinformatycznych, w tym urządzeń, oprogramowania i usług zapewniających prewencję, reakcję i detekcję zagrożeń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,</w:t>
      </w:r>
    </w:p>
    <w:p w14:paraId="122C6145" w14:textId="50631261" w:rsidR="00F94CF2" w:rsidRPr="00644DA4" w:rsidRDefault="00F94CF2" w:rsidP="0087353C">
      <w:pPr>
        <w:numPr>
          <w:ilvl w:val="0"/>
          <w:numId w:val="6"/>
        </w:numPr>
        <w:spacing w:after="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usługi wdrożenia i konfiguracji urządzeń i oprogramowania oraz wsparcia eksperckiego w zakresie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,</w:t>
      </w:r>
    </w:p>
    <w:p w14:paraId="4B9C3C27" w14:textId="77777777" w:rsidR="00F94CF2" w:rsidRPr="00644DA4" w:rsidRDefault="00F94CF2" w:rsidP="0087353C">
      <w:pPr>
        <w:numPr>
          <w:ilvl w:val="0"/>
          <w:numId w:val="6"/>
        </w:numPr>
        <w:spacing w:after="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zakup i wdrożenie systemów lub usług na potrzeby operacyjnych centrów bezpieczeństwa (SOC),</w:t>
      </w:r>
    </w:p>
    <w:p w14:paraId="43BC84D3" w14:textId="77777777" w:rsidR="00F94CF2" w:rsidRPr="00644DA4" w:rsidRDefault="00F94CF2" w:rsidP="0087353C">
      <w:pPr>
        <w:numPr>
          <w:ilvl w:val="0"/>
          <w:numId w:val="6"/>
        </w:numPr>
        <w:spacing w:after="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zakup lub rozwój systemów lub usług zarządzania podatnościami i skanerów podatności.</w:t>
      </w:r>
    </w:p>
    <w:p w14:paraId="324078A2" w14:textId="77777777" w:rsidR="00F94CF2" w:rsidRPr="00644DA4" w:rsidRDefault="00F94CF2" w:rsidP="00F94CF2">
      <w:pPr>
        <w:spacing w:after="120" w:line="276" w:lineRule="auto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Przykładowe działania jakie mogą być finansowane w ramach obszaru 3 to: </w:t>
      </w:r>
    </w:p>
    <w:p w14:paraId="6E609A7E" w14:textId="58E798FE" w:rsidR="00F94CF2" w:rsidRPr="00644DA4" w:rsidRDefault="00F94CF2" w:rsidP="0087353C">
      <w:pPr>
        <w:numPr>
          <w:ilvl w:val="0"/>
          <w:numId w:val="7"/>
        </w:numPr>
        <w:spacing w:after="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szkolenia z zakresu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dla kadry danego podmiotu istotnej </w:t>
      </w:r>
      <w:r w:rsidR="006E1301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z punktu widzenia wdrożonej polityki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lub systemu zarządzania bezpieczeństwem informacji, w tym w szczególności w zakresie środków wdrażanych w ramach przedsięwzięcia,</w:t>
      </w:r>
    </w:p>
    <w:p w14:paraId="0B13C418" w14:textId="7913B273" w:rsidR="00F94CF2" w:rsidRPr="00644DA4" w:rsidRDefault="00F94CF2" w:rsidP="0087353C">
      <w:pPr>
        <w:numPr>
          <w:ilvl w:val="0"/>
          <w:numId w:val="7"/>
        </w:numPr>
        <w:spacing w:after="0" w:line="360" w:lineRule="auto"/>
        <w:ind w:right="113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szkolenia z zakresu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dla: informatyków odpowiedzialnych za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cyberbezpieczeństwo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, kadry kierowniczej oraz pozostałych pracowników podmiotu, obejmujących m.in. symulowane cyberataki na użytkowników sieci </w:t>
      </w:r>
      <w:r w:rsidR="006E1301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i systemów informacyjnych w organizacji (np.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phishing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).</w:t>
      </w:r>
    </w:p>
    <w:p w14:paraId="10568AFD" w14:textId="04A2BE0F" w:rsidR="00F94CF2" w:rsidRPr="00644DA4" w:rsidRDefault="00B23F52" w:rsidP="00F94CF2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Norma 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§ 6 określa, że pomoc de </w:t>
      </w:r>
      <w:proofErr w:type="spellStart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będzie udzielana przez CPPC. Jest to podmiot zaangażowany już w działania w ramach KPO, który swoim doświadczeniem gwarantuje prawidłowy przebieg procesu udzielania pomocy. </w:t>
      </w:r>
    </w:p>
    <w:p w14:paraId="631EBD36" w14:textId="77777777" w:rsidR="00F94CF2" w:rsidRPr="00644DA4" w:rsidRDefault="00F94CF2" w:rsidP="00F94CF2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W § 7 określono ogólnie, że kosztami kwalifikowalnymi mogą być wyłącznie koszty poniesione na realizację przedsięwzięcia, o którym mowa w § 5. </w:t>
      </w:r>
    </w:p>
    <w:p w14:paraId="2D4DAE63" w14:textId="7294507B" w:rsidR="00F94CF2" w:rsidRPr="003837AB" w:rsidRDefault="00F94CF2" w:rsidP="0087353C">
      <w:pPr>
        <w:pStyle w:val="USTustnpkodeksu"/>
        <w:ind w:firstLine="0"/>
      </w:pPr>
      <w:r w:rsidRPr="00644DA4">
        <w:rPr>
          <w:rFonts w:eastAsia="Times New Roman"/>
        </w:rPr>
        <w:lastRenderedPageBreak/>
        <w:t>Ponadto w § 7 ust. 2 projektu rozporządzenia wskazano, że</w:t>
      </w:r>
      <w:r w:rsidR="003837AB">
        <w:rPr>
          <w:rFonts w:eastAsia="Times New Roman"/>
          <w:bCs w:val="0"/>
        </w:rPr>
        <w:t xml:space="preserve"> pomoc de </w:t>
      </w:r>
      <w:proofErr w:type="spellStart"/>
      <w:r w:rsidR="003837AB">
        <w:rPr>
          <w:rFonts w:eastAsia="Times New Roman"/>
          <w:bCs w:val="0"/>
        </w:rPr>
        <w:t>minimis</w:t>
      </w:r>
      <w:proofErr w:type="spellEnd"/>
      <w:r w:rsidR="003837AB">
        <w:rPr>
          <w:rFonts w:eastAsia="Times New Roman"/>
          <w:bCs w:val="0"/>
        </w:rPr>
        <w:t xml:space="preserve"> </w:t>
      </w:r>
      <w:r w:rsidR="003837AB">
        <w:t>nie może przekroczyć 100% poniesionych i udokumentowanych kosztów kwalifikowanych przedsięwzięcia, o którym mowa w § 5. P</w:t>
      </w:r>
      <w:r w:rsidRPr="00644DA4">
        <w:rPr>
          <w:rFonts w:eastAsia="Times New Roman"/>
        </w:rPr>
        <w:t xml:space="preserve">omoc de </w:t>
      </w:r>
      <w:proofErr w:type="spellStart"/>
      <w:r w:rsidRPr="00644DA4">
        <w:rPr>
          <w:rFonts w:eastAsia="Times New Roman"/>
        </w:rPr>
        <w:t>minimis</w:t>
      </w:r>
      <w:proofErr w:type="spellEnd"/>
      <w:r w:rsidRPr="00644DA4">
        <w:rPr>
          <w:rFonts w:eastAsia="Times New Roman"/>
        </w:rPr>
        <w:t xml:space="preserve"> będzie udzielana na pokrycie części lub całości kosztów przedsięwzięć dotyczących zapewnienia </w:t>
      </w:r>
      <w:proofErr w:type="spellStart"/>
      <w:r w:rsidRPr="00644DA4">
        <w:rPr>
          <w:rFonts w:eastAsia="Times New Roman"/>
        </w:rPr>
        <w:t>cyberbezpieczeństwa</w:t>
      </w:r>
      <w:proofErr w:type="spellEnd"/>
      <w:r w:rsidRPr="00644DA4">
        <w:rPr>
          <w:rFonts w:eastAsia="Times New Roman"/>
        </w:rPr>
        <w:t xml:space="preserve"> w danym podmiocie. Pomoc de </w:t>
      </w:r>
      <w:proofErr w:type="spellStart"/>
      <w:r w:rsidRPr="00644DA4">
        <w:rPr>
          <w:rFonts w:eastAsia="Times New Roman"/>
        </w:rPr>
        <w:t>minimis</w:t>
      </w:r>
      <w:proofErr w:type="spellEnd"/>
      <w:r w:rsidRPr="00644DA4">
        <w:rPr>
          <w:rFonts w:eastAsia="Times New Roman"/>
        </w:rPr>
        <w:t xml:space="preserve"> będzie udzielana na pokrycie części kosztów ponoszonych na realizację przedsięwzięć, w sytuacji, w której podmiot udzielający pomocy określi w naborze, jakie konkretnie koszty przedsięwzięć mogą być pokryte pomocą de </w:t>
      </w:r>
      <w:proofErr w:type="spellStart"/>
      <w:r w:rsidRPr="00644DA4">
        <w:rPr>
          <w:rFonts w:eastAsia="Times New Roman"/>
        </w:rPr>
        <w:t>minimis</w:t>
      </w:r>
      <w:proofErr w:type="spellEnd"/>
      <w:r w:rsidRPr="00644DA4">
        <w:rPr>
          <w:rFonts w:eastAsia="Times New Roman"/>
        </w:rPr>
        <w:t xml:space="preserve"> i nie będą to wszystkie koszty poniesione</w:t>
      </w:r>
      <w:r w:rsidR="003837AB">
        <w:rPr>
          <w:rFonts w:eastAsia="Times New Roman"/>
        </w:rPr>
        <w:t xml:space="preserve"> albo </w:t>
      </w:r>
      <w:r w:rsidRPr="00644DA4">
        <w:rPr>
          <w:rFonts w:eastAsia="Times New Roman"/>
        </w:rPr>
        <w:t>przewidziane do poniesienia w ramach danych przedsięwzięć.</w:t>
      </w:r>
    </w:p>
    <w:p w14:paraId="1827E9C7" w14:textId="77777777" w:rsidR="00F94CF2" w:rsidRPr="00644DA4" w:rsidRDefault="00F94CF2" w:rsidP="00F94CF2">
      <w:pPr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W § 8 projekt rozporządzenia określa formę, w jakiej będzie udzielana pomoc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na podstawie projektowanego rozporządzenia, którą będzie bezzwrotne wsparcie. Taka forma wynika z tego, że podmioty, które otrzymają wsparcie realizują istotne zadanie publiczne jakim jest zaopatrywanie w wodę. </w:t>
      </w:r>
    </w:p>
    <w:p w14:paraId="4E403AA7" w14:textId="01A94BBF" w:rsidR="00F94CF2" w:rsidRPr="00644DA4" w:rsidRDefault="00B23F52" w:rsidP="00F94CF2">
      <w:pPr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Przepis 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§ 9 projektu rozporządzenia określa wartość dopuszczalnej pomocy odsyłając, w tym zakresie, do przepisów rozporządzenia nr 2023/2831.</w:t>
      </w:r>
    </w:p>
    <w:p w14:paraId="1116FDD3" w14:textId="77777777" w:rsidR="00F94CF2" w:rsidRPr="00644DA4" w:rsidRDefault="00F94CF2" w:rsidP="00F94CF2">
      <w:pPr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W § 10 projektu rozporządzenia uregulowano tryb udzielenia pomocy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, w zakresie składania wniosku do CPPC. </w:t>
      </w:r>
    </w:p>
    <w:p w14:paraId="3A14435F" w14:textId="03C4ECC8" w:rsidR="00F94CF2" w:rsidRPr="00644DA4" w:rsidRDefault="00F94CF2" w:rsidP="00F94CF2">
      <w:pPr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W § 10 ust. 3 wskazano także, że wniosek może zawierać również inne informacje niezbędne do dokonania oceny wniosku, określone w regulaminie konkursu, w ramach którego będzie prowadzony nabór. Zaproponowane rozwiązanie jest konsekwencją faktu, iż program pomocowy jest przewidziany jako podstawa prawna udzielania pomocy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</w:t>
      </w:r>
      <w:r w:rsidR="00781F03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w nieokreślonych z góry przypadkach, na szeroki katalog kosztów kwalifikowalnych i nie jest możliwe jednoznaczne wskazanie, jakiego rodzaju informacje mogą być potrzebne do ocenienia poszczególnych wniosków. Informacje te będą wskazane w regulaminie naboru wniosków o udzielenie pomocy. Należy również podkreślić, że wśród tych innych informacji nie będzie informacji mających charakter danych osobowych. </w:t>
      </w:r>
    </w:p>
    <w:p w14:paraId="3669646F" w14:textId="711E0ABD" w:rsidR="00F94CF2" w:rsidRPr="00644DA4" w:rsidRDefault="00F94CF2" w:rsidP="00F94CF2">
      <w:pPr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Wskazany w § 10 ust. 4 pkt 1 obowiązek załączania przez przedsiębiorstwo wodociągowo-kanalizacyjne nałożono obowiązek dołączenia do wniosku zaświadczeń albo oświadczeń </w:t>
      </w:r>
      <w:r w:rsidR="00781F03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o udzielonej pomocy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w sektorze rolnictwa lub rybołówstwa wynika z regulacji zawartej w art. 5 rozporządzenia nr 2023/2831, tj. z obowiązku kumulacji wszystkich rodzajów pomocy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udzielonych na podstawie różnych aktów prawa Unii Europejskiej (a zatem również pomocy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w sektorze rolnictwa lub rybołówstwa) do limitu wskazanego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lastRenderedPageBreak/>
        <w:t xml:space="preserve">w art. 3 ust. 2 rozporządzenia nr 2023/2831. </w:t>
      </w:r>
      <w:r w:rsidR="00B23F52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Przepis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§ 11 ust. 4 </w:t>
      </w:r>
      <w:r w:rsidR="00B23F52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zakłada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obowiązek załączania informacji dotyczy informacji niezbędnych do udzielenia pomocy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, dotyczących </w:t>
      </w:r>
      <w:r w:rsidR="00781F03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.</w:t>
      </w:r>
    </w:p>
    <w:p w14:paraId="79C1A18C" w14:textId="2736F14D" w:rsidR="00F94CF2" w:rsidRPr="00644DA4" w:rsidRDefault="00B23F52" w:rsidP="00F94CF2">
      <w:pPr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Przepis 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§ 11 projektu określa w jaki sposób prowadzony jest nabór wniosków oraz sposób ogłoszenia o konkursie. </w:t>
      </w:r>
    </w:p>
    <w:p w14:paraId="145F663B" w14:textId="0D46A453" w:rsidR="00F94CF2" w:rsidRPr="00644DA4" w:rsidRDefault="00F94CF2" w:rsidP="00F94CF2">
      <w:pPr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Określono również procedurę </w:t>
      </w:r>
      <w:r w:rsidR="00644DA4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usunięcia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błędów formalnych wniosku, tak aby każde </w:t>
      </w:r>
      <w:r w:rsidR="00781F03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br/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z wnioskujących przedsiębiorstw wodociągowo-kanalizacyjnych mogło </w:t>
      </w:r>
      <w:r w:rsidR="00644DA4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skutecznie złożyć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wniosek i nie traciło szansy na wsparcie. </w:t>
      </w:r>
    </w:p>
    <w:p w14:paraId="2AE1AE57" w14:textId="4436C5EF" w:rsidR="00F94CF2" w:rsidRPr="00644DA4" w:rsidRDefault="00F94CF2" w:rsidP="00B84C8C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Zgodnie z § 11 </w:t>
      </w:r>
      <w:r w:rsidR="00B23F52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projektu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pomoc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będzie udzielana w trybie konkursowym przedsiębiorstwom wodociągowo-kanalizacyjnym, którzy złożą wnioski o udzielenie pomocy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. Obsługą ww. wniosków będzie zajmowało się CPPC. Nabór wniosków będzie trwał co najmniej miesiąc, zapewniając wszystkim przedsiębiorstwom wodociągowo-kanalizacyjnym odpowiedni czas na przygotowanie dokumentacji. </w:t>
      </w:r>
    </w:p>
    <w:p w14:paraId="2EEA0F55" w14:textId="77777777" w:rsidR="00F94CF2" w:rsidRPr="00644DA4" w:rsidRDefault="00F94CF2" w:rsidP="00B84C8C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Wybór wniosków w konkursie będzie odbywał się na podstawie regulaminu konkursu, który ustali CPPC. Każdy wniosek zostanie oceniony co najmniej pod kątem tego w jakim stopniu zaproponowane działania służą zapewnieniu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cyberbezpieczeństwa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przedsiębiorstwa wodociągowo-kanalizacyjnego, którego dotyczą, a także dopuszczalności zakwalifikowania zaproponowanych przez przedsiębiorstwa wodociągowo-kanalizacyjne kosztów kwalifikowalnych. Sprecyzowano również, że w ramach naboru przedsiębiorstwo wodociągowo-kanalizacyjne będzie mogło złożyć tylko jeden wniosek. </w:t>
      </w:r>
    </w:p>
    <w:p w14:paraId="645AED8B" w14:textId="4D859E98" w:rsidR="00F94CF2" w:rsidRPr="00644DA4" w:rsidRDefault="003908EE" w:rsidP="00B84C8C">
      <w:pPr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W 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§ 12 projekt rozporządzenia reguluje procedurę oceny wniosków i udzielania pomocy przez CPPC. Z uwagi na fakt, iż pomoc de </w:t>
      </w:r>
      <w:proofErr w:type="spellStart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udzielana przez ostatecznych odbiorców wsparcia na rzecz przedsiębiorstw wodociągowo-kanalizacyjnych będzie pomocą na tzw. drugim poziomie, wsparcie będzie udzielane na podstawie umowy o udzielenie pomocy, która nie jest umową o objęcie przedsięwzięcia wsparciem z KPO w rozumieniu ustawy.</w:t>
      </w:r>
    </w:p>
    <w:p w14:paraId="0F57DA25" w14:textId="6D604735" w:rsidR="00F94CF2" w:rsidRPr="00644DA4" w:rsidRDefault="003908EE" w:rsidP="00B84C8C">
      <w:pPr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Z kolei 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§ 13 projektu wskazuje, że kryteria wyboru wniosków muszą mieć obiektywny charakter i zapewniać efektywne i skuteczne wykorzystanie pomocy de </w:t>
      </w:r>
      <w:proofErr w:type="spellStart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. Przepis ten wyznacza jakie muszą być kryteria wyboru wniosków i gwarantuje, że będą służyły realizacji celu niniejszego projektu. </w:t>
      </w:r>
    </w:p>
    <w:p w14:paraId="38587F74" w14:textId="1AD8D446" w:rsidR="00F94CF2" w:rsidRPr="00644DA4" w:rsidRDefault="003908EE" w:rsidP="00B84C8C">
      <w:pPr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lastRenderedPageBreak/>
        <w:t xml:space="preserve">Przepis 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§ 14 projektu rozporządzenia precyzuje, że po dokonaniu wyboru wniosków, pomoc de </w:t>
      </w:r>
      <w:proofErr w:type="spellStart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będzie udzielana podstawie umowy o udzielenie pomocy de </w:t>
      </w:r>
      <w:proofErr w:type="spellStart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.</w:t>
      </w:r>
    </w:p>
    <w:p w14:paraId="361E5FF4" w14:textId="75EAABAA" w:rsidR="00F94CF2" w:rsidRPr="00644DA4" w:rsidRDefault="003908EE" w:rsidP="00F94CF2">
      <w:pPr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Na podstawie 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§ 15 projekt</w:t>
      </w:r>
      <w:r w:rsidR="00644DA4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u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rozporządzenia zobowiązuje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się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przedsiębiorstwo wodociągowo-kanalizacyjne do przedłożenia, przed podpisaniem umowy, określonych informacji i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 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zaświadczeń albo oświadczeń. Rozwiązanie to ma na celu umożliwienie podmiotowi udzielającemu pomocy dokonania weryfikacji, czy w momencie jej udzielenia nie zostanie przekroczony dopuszczalny limit pomocy i czy nie zostaną naruszone reguły kumulacji pomocy.</w:t>
      </w:r>
    </w:p>
    <w:p w14:paraId="4653F32D" w14:textId="1D71ADF3" w:rsidR="00F94CF2" w:rsidRPr="00644DA4" w:rsidRDefault="003908EE" w:rsidP="00F94CF2">
      <w:pPr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Przepis 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§ 16 wskazuje, że umowa między przedsiębiorstwem wodociągowo-kanalizacyjnym a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 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CPPC określa częstotliwość z jaką beneficjent będzie sprawozdawał z realizacji przedsięwzięcia. Pozwoli to CPPC monitorować czy pomoc de </w:t>
      </w:r>
      <w:proofErr w:type="spellStart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wydatkowana jest w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 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sposób efektywny i zgodny z przepisami. </w:t>
      </w:r>
    </w:p>
    <w:p w14:paraId="1DA4CF87" w14:textId="78405AD0" w:rsidR="00F94CF2" w:rsidRPr="00644DA4" w:rsidRDefault="003908EE" w:rsidP="00F94CF2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W 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§ 17 projekt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u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rozporządzenia wskaz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any został</w:t>
      </w:r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termin, do którego będzie udzielana pomoc. Zgodnie z postanowieniami art. 7 ust. 3 w związku z art. 8 rozporządzenia nr 2023/2831 możliwość udzielania pomocy de </w:t>
      </w:r>
      <w:proofErr w:type="spellStart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na podstawie obecnie obowiązujących przepisów prawa unijnego wskazuje na dzień 30 czerwca 2031 r. Jednak w związku z tym, że data końcowa kwalifikowalności wydatków w KPO została określona na dzień 30 czerwca 2026 r. Dzień 30 czerwca 2026 r. będzie więc ostatnim dniem z jakim będzie można wydatkować środki otrzymane w ramach pomocy de </w:t>
      </w:r>
      <w:proofErr w:type="spellStart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. Data ta została również wskazana, jako zakończenie inwestycji C3.1.1. „</w:t>
      </w:r>
      <w:proofErr w:type="spellStart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Cyberbezpieczeństwo</w:t>
      </w:r>
      <w:proofErr w:type="spellEnd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– </w:t>
      </w:r>
      <w:proofErr w:type="spellStart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CyberPL</w:t>
      </w:r>
      <w:proofErr w:type="spellEnd"/>
      <w:r w:rsidR="00F94CF2"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, infrastruktura przetwarzania danych optymalizacja infrastruktury służb państwowych odpowiedzialnych za bezpieczeństwo”, w załączniku do wniosku dotyczącego decyzji wykonawczej Rady zmieniającej decyzję wykonawczą (UE) (ST 9728/22 INIT; ST/9728/22 ADD 1) z dnia 17 czerwca 2022 r. w sprawie zatwierdzenia oceny planu odbudowy i zwiększania odporności Polski.</w:t>
      </w:r>
    </w:p>
    <w:p w14:paraId="56BA4123" w14:textId="17C3C3BE" w:rsidR="00F94CF2" w:rsidRPr="00644DA4" w:rsidRDefault="00F94CF2" w:rsidP="00F94CF2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W § 18 projektu rozporządzenia określono termin wejścia w życie</w:t>
      </w:r>
      <w:r w:rsidR="003908EE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przedmiotowego aktu.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Zgodnie z art. 4 ust. 1 ustawy z dnia 20 lipca 2000 r. o ogłaszaniu aktów normatywnych i niektórych innych aktów prawnych (Dz. U. z 2019 r. poz. 1461) standardowy okres vacatio legis wynosi 14 dni, natomiast zgodnie z art. 4 ust. 2 w uzasadnionych przypadkach termin ten może zostać skrócony. Uzasadnione jest skrócenie terminu wejścia w życie przedmiotowego aktu normatywnego z uwagi na przyspieszenie udzielania przedsiębiorstwom wodociągowo-kanalizacyjnym pomocy na podstawie nowych przepisów, korzystniejszych z uwagi na zwiększenie limitu dopuszczalnej pomocy de </w:t>
      </w:r>
      <w:proofErr w:type="spellStart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minimis</w:t>
      </w:r>
      <w:proofErr w:type="spellEnd"/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do 300 tys. EUR w okresie 3 lat dla 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lastRenderedPageBreak/>
        <w:t>jednego przedsiębiorstwom wodociągowo-kanalizacyjnym (obecnie limit wynosi 200 tys. EUR). Ponadto zaproponowany termin wejścia w życie rozporządzenia nie narusza zasad demokratycznego państwa prawnego i nie stoi w sprzeczności z art. 4 ust. 2 ustawy z dnia 20 lipca 2000 r. o ogłaszaniu aktów normatywnych i niektórych innych aktów prawnych.</w:t>
      </w:r>
      <w:r w:rsidR="003908EE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Mając na uwadze powyższe rozporządzenie wejdzie w życie z dniem następującym po dniu ogłoszenia.</w:t>
      </w:r>
    </w:p>
    <w:p w14:paraId="4261C66A" w14:textId="77777777" w:rsidR="00F94CF2" w:rsidRPr="00644DA4" w:rsidRDefault="00F94CF2" w:rsidP="00F94CF2">
      <w:pPr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Projektowane przepisy są zgodne z przepisami Unii Europejskiej.</w:t>
      </w:r>
    </w:p>
    <w:p w14:paraId="3C059D29" w14:textId="77777777" w:rsidR="00F94CF2" w:rsidRPr="00644DA4" w:rsidRDefault="00F94CF2" w:rsidP="00F94C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Projekt nie podlega przedstawieniu właściwym organom i instytucjom Unii Europejskiej, w tym Europejskiemu Bankowi Centralnemu, w celu uzyskania opinii, dokonania powiadomienia, konsultacji albo uzgodnienia.</w:t>
      </w:r>
    </w:p>
    <w:p w14:paraId="3E6B00C4" w14:textId="4F2EE111" w:rsidR="00F94CF2" w:rsidRPr="00644DA4" w:rsidRDefault="00F94CF2" w:rsidP="00F94C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Projekt rozporządzenia nie podlega procedurze notyfikacji w rozumieniu przepisów rozporządzenia Rady Ministrów z dnia 23 grudnia 2002 r. w sprawie sposobu funkcjonowania krajowego systemu notyfikacji norm i aktów prawnych (Dz. U. z 2002 r. poz. 2039 oraz z</w:t>
      </w:r>
      <w:r w:rsidR="007D03C1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 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2004</w:t>
      </w:r>
      <w:r w:rsidR="003908EE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 </w:t>
      </w: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r. poz. 597), ponieważ nie zawiera przepisów technicznych.</w:t>
      </w:r>
    </w:p>
    <w:p w14:paraId="2A0934FF" w14:textId="624484A3" w:rsidR="00F94CF2" w:rsidRPr="00644DA4" w:rsidRDefault="00F94CF2" w:rsidP="00F94CF2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" w:eastAsia="Calibri" w:hAnsi="Times" w:cs="Times"/>
          <w:color w:val="000000"/>
          <w:spacing w:val="-2"/>
          <w:kern w:val="0"/>
          <w14:ligatures w14:val="none"/>
        </w:rPr>
      </w:pPr>
      <w:r w:rsidRPr="00644DA4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Stosownie do</w:t>
      </w:r>
      <w:r w:rsidRPr="00644DA4">
        <w:rPr>
          <w:rFonts w:ascii="Times New Roman" w:eastAsia="Calibri" w:hAnsi="Times New Roman" w:cs="Times New Roman"/>
          <w:color w:val="000000"/>
          <w:spacing w:val="-2"/>
          <w:kern w:val="0"/>
          <w:sz w:val="22"/>
          <w:szCs w:val="22"/>
          <w14:ligatures w14:val="none"/>
        </w:rPr>
        <w:t xml:space="preserve"> </w:t>
      </w:r>
      <w:r w:rsidRPr="00644DA4">
        <w:rPr>
          <w:rFonts w:ascii="Times" w:eastAsia="Calibri" w:hAnsi="Times" w:cs="Times"/>
          <w:color w:val="000000"/>
          <w:spacing w:val="-2"/>
          <w:kern w:val="0"/>
          <w14:ligatures w14:val="none"/>
        </w:rPr>
        <w:t>postanowień art. 5 ustawy z dnia 7 lipca 2005 r. o działalności lobbingowej w</w:t>
      </w:r>
      <w:r w:rsidR="0087353C">
        <w:rPr>
          <w:rFonts w:ascii="Times" w:eastAsia="Calibri" w:hAnsi="Times" w:cs="Times"/>
          <w:color w:val="000000"/>
          <w:spacing w:val="-2"/>
          <w:kern w:val="0"/>
          <w14:ligatures w14:val="none"/>
        </w:rPr>
        <w:t> </w:t>
      </w:r>
      <w:r w:rsidRPr="00644DA4">
        <w:rPr>
          <w:rFonts w:ascii="Times" w:eastAsia="Calibri" w:hAnsi="Times" w:cs="Times"/>
          <w:color w:val="000000"/>
          <w:spacing w:val="-2"/>
          <w:kern w:val="0"/>
          <w14:ligatures w14:val="none"/>
        </w:rPr>
        <w:t>procesie stanowienia prawa (Dz. U. z 2017 r. poz. 248 oraz z 2024 r. poz. 1535), projekt został udostępniony w Biuletynie Informacji Publicznej na stronie podmiotowej urzędu obsługującego ministra właściwego do spraw informatyzacji. Ponadto, zgodnie z § 52 ust. 1 uchwały nr 190 Rady Ministrów z dnia 29 października 2013 r. – Regulamin pracy Rady Ministrów (M.P. z</w:t>
      </w:r>
      <w:r w:rsidR="007D03C1">
        <w:rPr>
          <w:rFonts w:ascii="Times" w:eastAsia="Calibri" w:hAnsi="Times" w:cs="Times"/>
          <w:color w:val="000000"/>
          <w:spacing w:val="-2"/>
          <w:kern w:val="0"/>
          <w14:ligatures w14:val="none"/>
        </w:rPr>
        <w:t> </w:t>
      </w:r>
      <w:r w:rsidRPr="00644DA4">
        <w:rPr>
          <w:rFonts w:ascii="Times" w:eastAsia="Calibri" w:hAnsi="Times" w:cs="Times"/>
          <w:color w:val="000000"/>
          <w:spacing w:val="-2"/>
          <w:kern w:val="0"/>
          <w14:ligatures w14:val="none"/>
        </w:rPr>
        <w:t>2024</w:t>
      </w:r>
      <w:r w:rsidR="003908EE">
        <w:rPr>
          <w:rFonts w:ascii="Times" w:eastAsia="Calibri" w:hAnsi="Times" w:cs="Times"/>
          <w:color w:val="000000"/>
          <w:spacing w:val="-2"/>
          <w:kern w:val="0"/>
          <w14:ligatures w14:val="none"/>
        </w:rPr>
        <w:t> </w:t>
      </w:r>
      <w:r w:rsidRPr="00644DA4">
        <w:rPr>
          <w:rFonts w:ascii="Times" w:eastAsia="Calibri" w:hAnsi="Times" w:cs="Times"/>
          <w:color w:val="000000"/>
          <w:spacing w:val="-2"/>
          <w:kern w:val="0"/>
          <w14:ligatures w14:val="none"/>
        </w:rPr>
        <w:t xml:space="preserve">r. poz. 806), projekt został udostępniony w Biuletynie Informacji Publicznej na stronie podmiotowej Rządowego Centrum Legislacji, w serwisie Rządowy Proces Legislacyjny. </w:t>
      </w:r>
    </w:p>
    <w:p w14:paraId="0B136E5A" w14:textId="77777777" w:rsidR="000C6B25" w:rsidRPr="00644DA4" w:rsidRDefault="000C6B25"/>
    <w:sectPr w:rsidR="000C6B25" w:rsidRPr="0064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187E"/>
    <w:multiLevelType w:val="hybridMultilevel"/>
    <w:tmpl w:val="83E66E14"/>
    <w:lvl w:ilvl="0" w:tplc="D8BAD0A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094C"/>
    <w:multiLevelType w:val="hybridMultilevel"/>
    <w:tmpl w:val="892A813E"/>
    <w:lvl w:ilvl="0" w:tplc="D8BAD0A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74325"/>
    <w:multiLevelType w:val="hybridMultilevel"/>
    <w:tmpl w:val="09C41F82"/>
    <w:lvl w:ilvl="0" w:tplc="D8BAD0A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62A7B"/>
    <w:multiLevelType w:val="hybridMultilevel"/>
    <w:tmpl w:val="D5222926"/>
    <w:lvl w:ilvl="0" w:tplc="30D49662">
      <w:numFmt w:val="bullet"/>
      <w:lvlText w:val="•"/>
      <w:lvlJc w:val="left"/>
      <w:pPr>
        <w:ind w:left="1065" w:hanging="705"/>
      </w:pPr>
      <w:rPr>
        <w:rFonts w:ascii="Calibri" w:eastAsia="Apto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7249B"/>
    <w:multiLevelType w:val="hybridMultilevel"/>
    <w:tmpl w:val="1F4AD7E6"/>
    <w:lvl w:ilvl="0" w:tplc="30D49662">
      <w:numFmt w:val="bullet"/>
      <w:lvlText w:val="•"/>
      <w:lvlJc w:val="left"/>
      <w:pPr>
        <w:ind w:left="1065" w:hanging="705"/>
      </w:pPr>
      <w:rPr>
        <w:rFonts w:ascii="Calibri" w:eastAsia="Apto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B46B8"/>
    <w:multiLevelType w:val="hybridMultilevel"/>
    <w:tmpl w:val="6D9ECCC2"/>
    <w:lvl w:ilvl="0" w:tplc="30D49662">
      <w:numFmt w:val="bullet"/>
      <w:lvlText w:val="•"/>
      <w:lvlJc w:val="left"/>
      <w:pPr>
        <w:ind w:left="1065" w:hanging="705"/>
      </w:pPr>
      <w:rPr>
        <w:rFonts w:ascii="Calibri" w:eastAsia="Apto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33D52"/>
    <w:multiLevelType w:val="hybridMultilevel"/>
    <w:tmpl w:val="97DC5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75987">
    <w:abstractNumId w:val="5"/>
  </w:num>
  <w:num w:numId="2" w16cid:durableId="1660158568">
    <w:abstractNumId w:val="4"/>
  </w:num>
  <w:num w:numId="3" w16cid:durableId="239801484">
    <w:abstractNumId w:val="3"/>
  </w:num>
  <w:num w:numId="4" w16cid:durableId="1866483049">
    <w:abstractNumId w:val="6"/>
  </w:num>
  <w:num w:numId="5" w16cid:durableId="1361778390">
    <w:abstractNumId w:val="0"/>
  </w:num>
  <w:num w:numId="6" w16cid:durableId="521168992">
    <w:abstractNumId w:val="2"/>
  </w:num>
  <w:num w:numId="7" w16cid:durableId="1481725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4C"/>
    <w:rsid w:val="000C6B25"/>
    <w:rsid w:val="0022178B"/>
    <w:rsid w:val="00252250"/>
    <w:rsid w:val="002A2B88"/>
    <w:rsid w:val="0035538A"/>
    <w:rsid w:val="003837AB"/>
    <w:rsid w:val="003908EE"/>
    <w:rsid w:val="003E26B3"/>
    <w:rsid w:val="00493D1B"/>
    <w:rsid w:val="00582B88"/>
    <w:rsid w:val="00644DA4"/>
    <w:rsid w:val="00695B5C"/>
    <w:rsid w:val="006E1301"/>
    <w:rsid w:val="00720128"/>
    <w:rsid w:val="007366A1"/>
    <w:rsid w:val="00750574"/>
    <w:rsid w:val="0077649D"/>
    <w:rsid w:val="00781F03"/>
    <w:rsid w:val="007D03C1"/>
    <w:rsid w:val="0087353C"/>
    <w:rsid w:val="00941B6E"/>
    <w:rsid w:val="0095214C"/>
    <w:rsid w:val="00A31734"/>
    <w:rsid w:val="00A5625F"/>
    <w:rsid w:val="00AB49A1"/>
    <w:rsid w:val="00B23F52"/>
    <w:rsid w:val="00B47CF3"/>
    <w:rsid w:val="00B84C8C"/>
    <w:rsid w:val="00C71F4F"/>
    <w:rsid w:val="00CD2E51"/>
    <w:rsid w:val="00CE102C"/>
    <w:rsid w:val="00CE4885"/>
    <w:rsid w:val="00D20F5B"/>
    <w:rsid w:val="00E00B7B"/>
    <w:rsid w:val="00E2126E"/>
    <w:rsid w:val="00ED0FBB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2445"/>
  <w15:chartTrackingRefBased/>
  <w15:docId w15:val="{C6C62B88-6218-4D75-A37F-82DC1E7D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1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1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1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1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1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1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2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21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1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21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1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14C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E00B7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49D"/>
    <w:rPr>
      <w:b/>
      <w:bCs/>
      <w:sz w:val="20"/>
      <w:szCs w:val="20"/>
    </w:rPr>
  </w:style>
  <w:style w:type="paragraph" w:customStyle="1" w:styleId="USTustnpkodeksu">
    <w:name w:val="UST(§) – ust. (§ np. kodeksu)"/>
    <w:basedOn w:val="Normalny"/>
    <w:uiPriority w:val="12"/>
    <w:qFormat/>
    <w:rsid w:val="003837A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3371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COI</Company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Grochowska Agnieszka</dc:creator>
  <cp:keywords/>
  <dc:description/>
  <cp:lastModifiedBy>Natalia Przepierska</cp:lastModifiedBy>
  <cp:revision>2</cp:revision>
  <dcterms:created xsi:type="dcterms:W3CDTF">2025-03-17T07:21:00Z</dcterms:created>
  <dcterms:modified xsi:type="dcterms:W3CDTF">2025-03-17T07:21:00Z</dcterms:modified>
</cp:coreProperties>
</file>