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006" w14:textId="6AD64193" w:rsidR="00A96F90" w:rsidRPr="004418E8" w:rsidRDefault="00EB1E93" w:rsidP="00C864A9">
      <w:pPr>
        <w:pStyle w:val="OZNZACZNIKAwskazanienrzacznika"/>
        <w:rPr>
          <w:rStyle w:val="Ppogrubienie"/>
        </w:rPr>
      </w:pPr>
      <w:r w:rsidRPr="00EB1E93">
        <w:t xml:space="preserve">Załącznik nr </w:t>
      </w:r>
      <w:r>
        <w:t>12</w:t>
      </w:r>
    </w:p>
    <w:p w14:paraId="357A18FB" w14:textId="635C1B08" w:rsidR="00E54DBA" w:rsidRPr="00E54DBA" w:rsidRDefault="00063923" w:rsidP="00BA0295">
      <w:pPr>
        <w:pStyle w:val="TYTTABELItytutabeli"/>
      </w:pPr>
      <w:r w:rsidRPr="00063923">
        <w:t xml:space="preserve">WYMAGANIA IZOLACYJNOŚCI CIEPLNEJ I </w:t>
      </w:r>
      <w:r w:rsidR="00537545">
        <w:t>inne</w:t>
      </w:r>
      <w:r w:rsidRPr="00063923">
        <w:t xml:space="preserve"> WYMAGANIA ZWIĄZANE Z</w:t>
      </w:r>
      <w:r w:rsidR="000964D4">
        <w:t> </w:t>
      </w:r>
      <w:r w:rsidRPr="00063923">
        <w:t>OSZCZĘDNOŚCIĄ ENERGII</w:t>
      </w:r>
    </w:p>
    <w:p w14:paraId="6410A91C" w14:textId="77777777" w:rsidR="00063923" w:rsidRPr="00D2231C" w:rsidRDefault="00063923" w:rsidP="00063923">
      <w:pPr>
        <w:pStyle w:val="TEKSTwTABELIWYRODKOWANYtekstwyrodkowanywpoziomie"/>
      </w:pPr>
    </w:p>
    <w:p w14:paraId="6E348251" w14:textId="77777777" w:rsidR="00063923" w:rsidRPr="0061657D" w:rsidRDefault="00063923" w:rsidP="00063923">
      <w:pPr>
        <w:rPr>
          <w:rStyle w:val="Ppogrubienie"/>
        </w:rPr>
      </w:pPr>
      <w:r w:rsidRPr="0061657D">
        <w:rPr>
          <w:rStyle w:val="Ppogrubienie"/>
        </w:rPr>
        <w:t>1. Izolacyjność cieplna przegr</w:t>
      </w:r>
      <w:r>
        <w:rPr>
          <w:rStyle w:val="Ppogrubienie"/>
        </w:rPr>
        <w:t>o</w:t>
      </w:r>
      <w:r w:rsidRPr="0061657D">
        <w:rPr>
          <w:rStyle w:val="Ppogrubienie"/>
        </w:rPr>
        <w:t>d</w:t>
      </w:r>
      <w:r>
        <w:rPr>
          <w:rStyle w:val="Ppogrubienie"/>
        </w:rPr>
        <w:t>y</w:t>
      </w:r>
    </w:p>
    <w:p w14:paraId="6F7853E3" w14:textId="77777777" w:rsidR="00063923" w:rsidRDefault="00063923" w:rsidP="00135163">
      <w:pPr>
        <w:pStyle w:val="LITlitera"/>
      </w:pPr>
      <w:r w:rsidRPr="00D2231C">
        <w:t>1.1.</w:t>
      </w:r>
      <w:r w:rsidRPr="00D2231C">
        <w:tab/>
        <w:t>Wartości współczynnika przenikania ciepła U</w:t>
      </w:r>
      <w:r w:rsidRPr="00EC634C">
        <w:rPr>
          <w:rStyle w:val="IDindeksdolny"/>
        </w:rPr>
        <w:t>C</w:t>
      </w:r>
      <w:r w:rsidRPr="00D2231C">
        <w:t xml:space="preserve"> ścian</w:t>
      </w:r>
      <w:r>
        <w:t>y</w:t>
      </w:r>
      <w:r w:rsidRPr="00D2231C">
        <w:t>, dach</w:t>
      </w:r>
      <w:r>
        <w:t>u</w:t>
      </w:r>
      <w:r w:rsidRPr="00D2231C">
        <w:t>, strop</w:t>
      </w:r>
      <w:r>
        <w:t>u</w:t>
      </w:r>
      <w:r w:rsidRPr="00D2231C">
        <w:t xml:space="preserve"> i stropodach</w:t>
      </w:r>
      <w:r>
        <w:t>u</w:t>
      </w:r>
      <w:r w:rsidRPr="00D2231C">
        <w:t xml:space="preserve"> dla wszystkich rodzajów budynków, uwzględniające poprawki ze względu na pustki powietrzne w warstwie izolacji, łączniki mechaniczne przechodzące przez warstwę izolacyjną oraz opady na dach o odwróconym układzie warstw, obliczone zgodnie z</w:t>
      </w:r>
      <w:r>
        <w:t> </w:t>
      </w:r>
      <w:r w:rsidRPr="00D2231C">
        <w:t>Polskimi Normami dotyczącymi obliczania oporu cieplnego i współczynnika przenikania ciepła oraz przenoszenia ciepła przez grunt, nie mogą być większe niż wartości U</w:t>
      </w:r>
      <w:r w:rsidRPr="00E20E3F">
        <w:rPr>
          <w:rStyle w:val="IDindeksdolny"/>
        </w:rPr>
        <w:t>C</w:t>
      </w:r>
      <w:r w:rsidRPr="0061657D">
        <w:rPr>
          <w:rStyle w:val="IDindeksdolny"/>
        </w:rPr>
        <w:t>(max)</w:t>
      </w:r>
      <w:r w:rsidRPr="00D2231C">
        <w:t xml:space="preserve"> określone w poniższej tabeli:</w:t>
      </w:r>
    </w:p>
    <w:p w14:paraId="76370C0B" w14:textId="77777777" w:rsidR="00063923" w:rsidRPr="00D2231C" w:rsidRDefault="00063923" w:rsidP="00063923"/>
    <w:tbl>
      <w:tblPr>
        <w:tblW w:w="501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678"/>
        <w:gridCol w:w="4820"/>
      </w:tblGrid>
      <w:tr w:rsidR="00063923" w:rsidRPr="00145150" w14:paraId="53147CF2" w14:textId="77777777" w:rsidTr="00917BE3">
        <w:trPr>
          <w:trHeight w:val="103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60772" w14:textId="77777777" w:rsidR="00063923" w:rsidRDefault="00063923" w:rsidP="00063923">
            <w:pPr>
              <w:pStyle w:val="TEKSTwTABELIWYRODKOWANYtekstwyrodkowanywpoziomie"/>
            </w:pPr>
          </w:p>
          <w:p w14:paraId="05E8673A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Lp.</w:t>
            </w:r>
          </w:p>
          <w:p w14:paraId="3FCCC222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076A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</w:t>
            </w:r>
          </w:p>
          <w:p w14:paraId="1D15D35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Rodzaj przegrody i temperatura w pomieszczeniu</w:t>
            </w:r>
            <w:r w:rsidRPr="00063923">
              <w:t xml:space="preserve"> 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95CA" w14:textId="77777777" w:rsidR="000A6AC5" w:rsidRDefault="00063923" w:rsidP="00063923">
            <w:r w:rsidRPr="005E52C8">
              <w:t xml:space="preserve"> </w:t>
            </w:r>
          </w:p>
          <w:p w14:paraId="695A950A" w14:textId="1B882D3F" w:rsidR="00063923" w:rsidRPr="00063923" w:rsidRDefault="00063923" w:rsidP="00063923">
            <w:r w:rsidRPr="005E52C8">
              <w:t>Współczynnik przenikania ciepła</w:t>
            </w:r>
            <w:r w:rsidRPr="00063923">
              <w:t xml:space="preserve"> U</w:t>
            </w:r>
            <w:r w:rsidRPr="00063923">
              <w:rPr>
                <w:rStyle w:val="IDindeksdolny"/>
              </w:rPr>
              <w:t>C(max)</w:t>
            </w:r>
            <w:r w:rsidRPr="00063923">
              <w:t xml:space="preserve"> </w:t>
            </w:r>
            <w:r w:rsidRPr="00063923">
              <w:br/>
              <w:t xml:space="preserve"> [W/(m</w:t>
            </w:r>
            <w:r w:rsidRPr="00063923">
              <w:rPr>
                <w:rStyle w:val="IGindeksgrny"/>
              </w:rPr>
              <w:t>2</w:t>
            </w:r>
            <w:r w:rsidRPr="00063923">
              <w:t xml:space="preserve"> · K)]</w:t>
            </w:r>
          </w:p>
        </w:tc>
      </w:tr>
      <w:tr w:rsidR="00063923" w:rsidRPr="00145150" w14:paraId="6FAEBDA8" w14:textId="77777777" w:rsidTr="00917BE3">
        <w:trPr>
          <w:trHeight w:val="54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A215C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EB14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2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D37EA7" w14:textId="06846C16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</w:tr>
      <w:tr w:rsidR="00063923" w:rsidRPr="00145150" w14:paraId="2B61B20A" w14:textId="77777777" w:rsidTr="00917BE3">
        <w:trPr>
          <w:trHeight w:val="56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AED2F0" w14:textId="77777777" w:rsidR="00063923" w:rsidRPr="00063923" w:rsidRDefault="00063923" w:rsidP="00063923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DF133C" w14:textId="77777777" w:rsidR="00063923" w:rsidRPr="00063923" w:rsidRDefault="00063923" w:rsidP="00063923">
            <w:r w:rsidRPr="005E52C8">
              <w:t>Ścian</w:t>
            </w:r>
            <w:r w:rsidRPr="00063923">
              <w:t>a zewnętrzna:</w:t>
            </w:r>
          </w:p>
          <w:p w14:paraId="46F1BAAA" w14:textId="77777777" w:rsidR="00063923" w:rsidRPr="0061657D" w:rsidRDefault="00063923" w:rsidP="00063923"/>
          <w:p w14:paraId="4292EBBE" w14:textId="77777777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16°C,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AA5A7" w14:textId="77777777" w:rsidR="00063923" w:rsidRPr="005E52C8" w:rsidRDefault="00063923" w:rsidP="00063923"/>
        </w:tc>
      </w:tr>
      <w:tr w:rsidR="00063923" w:rsidRPr="00145150" w14:paraId="27DA50DB" w14:textId="77777777" w:rsidTr="00917BE3">
        <w:tc>
          <w:tcPr>
            <w:tcW w:w="31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DF7F037" w14:textId="77777777" w:rsidR="00063923" w:rsidRPr="005E52C8" w:rsidRDefault="00063923" w:rsidP="00063923"/>
        </w:tc>
        <w:tc>
          <w:tcPr>
            <w:tcW w:w="202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BC74BDE" w14:textId="77777777" w:rsidR="00063923" w:rsidRPr="0061657D" w:rsidRDefault="00063923" w:rsidP="00063923"/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7B64DF9" w14:textId="2133413D" w:rsidR="00063923" w:rsidRPr="00063923" w:rsidRDefault="00063923" w:rsidP="00063923">
            <w:pPr>
              <w:pStyle w:val="TEKSTwTABELIWYRODKOWANYtekstwyrodkowanywpoziomie"/>
            </w:pPr>
            <w:r w:rsidRPr="005E52C8">
              <w:t>0,20</w:t>
            </w:r>
          </w:p>
        </w:tc>
      </w:tr>
      <w:tr w:rsidR="00063923" w:rsidRPr="00145150" w14:paraId="5E704409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5C9DB9" w14:textId="77777777" w:rsidR="00063923" w:rsidRPr="005E52C8" w:rsidRDefault="00063923" w:rsidP="00063923"/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BCF0" w14:textId="77777777" w:rsidR="00063923" w:rsidRPr="00063923" w:rsidRDefault="00063923" w:rsidP="00063923">
            <w:r w:rsidRPr="005E52C8">
              <w:t xml:space="preserve">b) przy 8°C ≤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42C3167" w14:textId="465A924F" w:rsidR="00063923" w:rsidRPr="00063923" w:rsidRDefault="00063923" w:rsidP="00063923">
            <w:pPr>
              <w:pStyle w:val="TEKSTwTABELIWYRODKOWANYtekstwyrodkowanywpoziomie"/>
            </w:pPr>
            <w:r w:rsidRPr="005E52C8">
              <w:t>0,45</w:t>
            </w:r>
          </w:p>
        </w:tc>
      </w:tr>
      <w:tr w:rsidR="00063923" w:rsidRPr="00145150" w14:paraId="57A866AE" w14:textId="77777777" w:rsidTr="00917BE3">
        <w:trPr>
          <w:trHeight w:val="629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F04C8" w14:textId="77777777" w:rsidR="00063923" w:rsidRPr="005E52C8" w:rsidRDefault="00063923" w:rsidP="00063923"/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3BA1" w14:textId="77777777" w:rsidR="00063923" w:rsidRPr="00063923" w:rsidRDefault="00063923" w:rsidP="00063923">
            <w:r w:rsidRPr="005E52C8">
              <w:t xml:space="preserve">c)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</w:t>
            </w:r>
          </w:p>
          <w:p w14:paraId="6BD77A8F" w14:textId="77777777" w:rsidR="00063923" w:rsidRPr="0061657D" w:rsidRDefault="00063923" w:rsidP="00063923"/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5AF71" w14:textId="1BABAFAD" w:rsidR="00063923" w:rsidRPr="00063923" w:rsidRDefault="00063923" w:rsidP="00063923">
            <w:pPr>
              <w:pStyle w:val="TEKSTwTABELIWYRODKOWANYtekstwyrodkowanywpoziomie"/>
            </w:pPr>
            <w:r w:rsidRPr="005E52C8">
              <w:t>0,90</w:t>
            </w:r>
          </w:p>
        </w:tc>
      </w:tr>
      <w:tr w:rsidR="00063923" w:rsidRPr="00145150" w14:paraId="76BC14EB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7F8E0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39724" w14:textId="5E21ED7E" w:rsidR="00063923" w:rsidRPr="00063923" w:rsidRDefault="00063923" w:rsidP="00063923">
            <w:r w:rsidRPr="005E52C8">
              <w:t>Ścian</w:t>
            </w:r>
            <w:r w:rsidRPr="00063923">
              <w:t>a wewnętrzna: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C1A4453" w14:textId="77777777" w:rsidR="00063923" w:rsidRPr="005E52C8" w:rsidRDefault="00063923" w:rsidP="00063923"/>
        </w:tc>
      </w:tr>
      <w:tr w:rsidR="00063923" w:rsidRPr="00145150" w14:paraId="02CC9A87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B6360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011D9" w14:textId="77777777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8°C oraz oddzielające pomieszczenie ogrzewane od klatki schodowej i korytarza,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7D97F9C" w14:textId="247F448F" w:rsidR="00063923" w:rsidRPr="00063923" w:rsidRDefault="00063923" w:rsidP="00063923">
            <w:pPr>
              <w:pStyle w:val="TEKSTwTABELIWYRODKOWANYtekstwyrodkowanywpoziomie"/>
            </w:pPr>
            <w:r w:rsidRPr="005E52C8">
              <w:t>1,00</w:t>
            </w:r>
          </w:p>
          <w:p w14:paraId="2E014BFB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1D51EB59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0E550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A17B8" w14:textId="794B404B" w:rsidR="00063923" w:rsidRPr="00063923" w:rsidRDefault="00063923" w:rsidP="00063923">
            <w:r w:rsidRPr="005E52C8">
              <w:t xml:space="preserve">b)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6EC9661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bez wymagań</w:t>
            </w:r>
          </w:p>
        </w:tc>
      </w:tr>
      <w:tr w:rsidR="00063923" w:rsidRPr="00145150" w14:paraId="67E68A29" w14:textId="77777777" w:rsidTr="00917BE3">
        <w:trPr>
          <w:trHeight w:val="944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E67AE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80D0" w14:textId="56EE7C40" w:rsidR="00063923" w:rsidRPr="00063923" w:rsidRDefault="00063923" w:rsidP="00063923">
            <w:r w:rsidRPr="005E52C8">
              <w:t>c) oddzielające pomieszczenie ogrzewane od nieogrzewanego</w:t>
            </w:r>
          </w:p>
          <w:p w14:paraId="0006760C" w14:textId="77777777" w:rsidR="00063923" w:rsidRPr="0061657D" w:rsidRDefault="00063923" w:rsidP="00063923"/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B4C9B" w14:textId="4175EB14" w:rsidR="00063923" w:rsidRPr="00063923" w:rsidRDefault="00063923" w:rsidP="00063923">
            <w:pPr>
              <w:pStyle w:val="TEKSTwTABELIWYRODKOWANYtekstwyrodkowanywpoziomie"/>
            </w:pPr>
            <w:r w:rsidRPr="005E52C8">
              <w:t>0,30</w:t>
            </w:r>
          </w:p>
        </w:tc>
      </w:tr>
      <w:tr w:rsidR="00063923" w:rsidRPr="00145150" w14:paraId="29415E20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4F22B4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3128F" w14:textId="16217899" w:rsidR="00063923" w:rsidRPr="00063923" w:rsidRDefault="00063923" w:rsidP="00063923">
            <w:r w:rsidRPr="005E52C8">
              <w:t>Ścian</w:t>
            </w:r>
            <w:r w:rsidRPr="00063923">
              <w:t>a przyległa do szczeliny dylatacyjnej o szerokości: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81BB02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</w:t>
            </w:r>
          </w:p>
        </w:tc>
      </w:tr>
      <w:tr w:rsidR="00063923" w:rsidRPr="00145150" w14:paraId="581FF7C8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4B912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CB5A7" w14:textId="1D1C34CA" w:rsidR="00063923" w:rsidRPr="00063923" w:rsidRDefault="00063923" w:rsidP="00063923">
            <w:r w:rsidRPr="005E52C8">
              <w:t xml:space="preserve">a) do </w:t>
            </w:r>
            <w:r w:rsidRPr="00063923">
              <w:t>0,05 m, trwale zamkniętej i wypełnionej izolacją cieplną na głębokości co najmniej 0,20 m,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DD19C2F" w14:textId="63C842E4" w:rsidR="00063923" w:rsidRPr="00063923" w:rsidRDefault="00063923" w:rsidP="00063923">
            <w:pPr>
              <w:pStyle w:val="TEKSTwTABELIWYRODKOWANYtekstwyrodkowanywpoziomie"/>
            </w:pPr>
            <w:r w:rsidRPr="005E52C8">
              <w:t>1,00</w:t>
            </w:r>
          </w:p>
          <w:p w14:paraId="6D61B314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5104E99" w14:textId="77777777" w:rsidTr="00917BE3">
        <w:trPr>
          <w:trHeight w:val="1268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194B0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1E17" w14:textId="3442C9E4" w:rsidR="00063923" w:rsidRPr="0061657D" w:rsidRDefault="00063923" w:rsidP="00063923">
            <w:r w:rsidRPr="005E52C8">
              <w:t xml:space="preserve">b) powyżej </w:t>
            </w:r>
            <w:r w:rsidRPr="00063923">
              <w:t>0,05 m, niezależnie od przyjętego sposobu zamknięcia i zaizolowania szczeliny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B4A8C" w14:textId="3DC0AFFA" w:rsidR="00063923" w:rsidRPr="00063923" w:rsidRDefault="00063923" w:rsidP="00063923">
            <w:pPr>
              <w:pStyle w:val="TEKSTwTABELIWYRODKOWANYtekstwyrodkowanywpoziomie"/>
            </w:pPr>
            <w:r w:rsidRPr="005E52C8">
              <w:t>0,70</w:t>
            </w:r>
          </w:p>
          <w:p w14:paraId="6DA7AFCD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62FDC409" w14:textId="77777777" w:rsidTr="00917BE3">
        <w:trPr>
          <w:trHeight w:val="84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18A0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4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E9D2" w14:textId="0147FE22" w:rsidR="00063923" w:rsidRPr="0061657D" w:rsidRDefault="00063923" w:rsidP="00063923">
            <w:r w:rsidRPr="005E52C8">
              <w:t>Ścian</w:t>
            </w:r>
            <w:r w:rsidRPr="00063923">
              <w:t>a nieogrzewanej kondygnacji podziemnej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3E17A" w14:textId="41ED0AB6" w:rsidR="00063923" w:rsidRPr="00063923" w:rsidRDefault="00063923" w:rsidP="00063923">
            <w:pPr>
              <w:pStyle w:val="TEKSTwTABELIWYRODKOWANYtekstwyrodkowanywpoziomie"/>
            </w:pPr>
            <w:r w:rsidRPr="005E52C8">
              <w:t>bez wymagań</w:t>
            </w:r>
          </w:p>
        </w:tc>
      </w:tr>
      <w:tr w:rsidR="00063923" w:rsidRPr="00145150" w14:paraId="2CE46B56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66862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5</w:t>
            </w:r>
          </w:p>
          <w:p w14:paraId="59EF4CA5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5C3600" w14:textId="77777777" w:rsidR="00063923" w:rsidRPr="00063923" w:rsidRDefault="00063923" w:rsidP="00063923">
            <w:r w:rsidRPr="005E52C8">
              <w:t xml:space="preserve"> Dach, stropodach i strop pod nieogrzewanym poddasz</w:t>
            </w:r>
            <w:r w:rsidRPr="00063923">
              <w:t>em lub nad przejazdem: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8907299" w14:textId="242BD02E" w:rsidR="00063923" w:rsidRPr="00063923" w:rsidRDefault="00063923" w:rsidP="00063923">
            <w:pPr>
              <w:pStyle w:val="TEKSTwTABELIWYRODKOWANYtekstwyrodkowanywpoziomie"/>
            </w:pPr>
          </w:p>
          <w:p w14:paraId="28890DD5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253E16E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F69C9B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2C264" w14:textId="3FDE3DB1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2487F99" w14:textId="14BB22DC" w:rsidR="00063923" w:rsidRPr="00063923" w:rsidRDefault="00063923" w:rsidP="00063923">
            <w:pPr>
              <w:pStyle w:val="TEKSTwTABELIWYRODKOWANYtekstwyrodkowanywpoziomie"/>
            </w:pPr>
            <w:r w:rsidRPr="005E52C8">
              <w:t>0,15</w:t>
            </w:r>
          </w:p>
        </w:tc>
      </w:tr>
      <w:tr w:rsidR="00063923" w:rsidRPr="00145150" w14:paraId="22461077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C126C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BB4CB" w14:textId="4BF185FE" w:rsidR="00063923" w:rsidRPr="00063923" w:rsidRDefault="00063923" w:rsidP="00063923">
            <w:r w:rsidRPr="005E52C8">
              <w:t xml:space="preserve">b) przy 8°C ≤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C339774" w14:textId="6A351954" w:rsidR="00063923" w:rsidRPr="00063923" w:rsidRDefault="00063923" w:rsidP="00063923">
            <w:pPr>
              <w:pStyle w:val="TEKSTwTABELIWYRODKOWANYtekstwyrodkowanywpoziomie"/>
            </w:pPr>
            <w:r w:rsidRPr="005E52C8">
              <w:t>0,30</w:t>
            </w:r>
          </w:p>
        </w:tc>
      </w:tr>
      <w:tr w:rsidR="00063923" w:rsidRPr="00145150" w14:paraId="2C85A64C" w14:textId="77777777" w:rsidTr="00917BE3">
        <w:trPr>
          <w:trHeight w:val="526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F2581B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8503" w14:textId="0BAE412F" w:rsidR="00063923" w:rsidRPr="0061657D" w:rsidRDefault="00063923" w:rsidP="00063923">
            <w:r w:rsidRPr="005E52C8">
              <w:t xml:space="preserve">c)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9D40" w14:textId="12198954" w:rsidR="00063923" w:rsidRPr="00063923" w:rsidRDefault="00063923" w:rsidP="00063923">
            <w:pPr>
              <w:pStyle w:val="TEKSTwTABELIWYRODKOWANYtekstwyrodkowanywpoziomie"/>
            </w:pPr>
            <w:r w:rsidRPr="005E52C8">
              <w:t>0,70</w:t>
            </w:r>
          </w:p>
        </w:tc>
      </w:tr>
      <w:tr w:rsidR="00063923" w:rsidRPr="00145150" w14:paraId="6DC8E862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4989CD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6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384F4C" w14:textId="332FE0CA" w:rsidR="00063923" w:rsidRPr="00063923" w:rsidRDefault="00063923" w:rsidP="00063923">
            <w:r w:rsidRPr="005E52C8">
              <w:t>Podłog</w:t>
            </w:r>
            <w:r w:rsidRPr="00063923">
              <w:t>a na gruncie: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D793" w14:textId="78B61EDF" w:rsidR="00063923" w:rsidRPr="00063923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276EA86C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7EA77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3AC29B" w14:textId="37076EBC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4872F2" w14:textId="7DCB5C86" w:rsidR="00063923" w:rsidRPr="00063923" w:rsidRDefault="00063923" w:rsidP="00063923">
            <w:pPr>
              <w:pStyle w:val="TEKSTwTABELIWYRODKOWANYtekstwyrodkowanywpoziomie"/>
            </w:pPr>
            <w:r w:rsidRPr="005E52C8">
              <w:t>0,30</w:t>
            </w:r>
          </w:p>
        </w:tc>
      </w:tr>
      <w:tr w:rsidR="00063923" w:rsidRPr="00145150" w14:paraId="04BE9726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401066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C1F8BD" w14:textId="4ECF6B97" w:rsidR="00063923" w:rsidRPr="00063923" w:rsidRDefault="00063923" w:rsidP="00063923">
            <w:r w:rsidRPr="005E52C8">
              <w:t xml:space="preserve">b) przy 8°C ≤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042C8" w14:textId="7DA98945" w:rsidR="00063923" w:rsidRPr="00063923" w:rsidRDefault="00063923" w:rsidP="00063923">
            <w:pPr>
              <w:pStyle w:val="TEKSTwTABELIWYRODKOWANYtekstwyrodkowanywpoziomie"/>
            </w:pPr>
            <w:r w:rsidRPr="005E52C8">
              <w:t>1,20</w:t>
            </w:r>
          </w:p>
        </w:tc>
      </w:tr>
      <w:tr w:rsidR="00063923" w:rsidRPr="00145150" w14:paraId="41147531" w14:textId="77777777" w:rsidTr="00917BE3">
        <w:trPr>
          <w:trHeight w:val="590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951E4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61B6" w14:textId="065F6144" w:rsidR="00063923" w:rsidRPr="0061657D" w:rsidRDefault="00063923" w:rsidP="00063923">
            <w:r w:rsidRPr="005E52C8">
              <w:t xml:space="preserve">c)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5CA9" w14:textId="6C04215D" w:rsidR="00063923" w:rsidRPr="00063923" w:rsidRDefault="00063923" w:rsidP="00063923">
            <w:pPr>
              <w:pStyle w:val="TEKSTwTABELIWYRODKOWANYtekstwyrodkowanywpoziomie"/>
            </w:pPr>
            <w:r w:rsidRPr="005E52C8">
              <w:t>1,50</w:t>
            </w:r>
          </w:p>
        </w:tc>
      </w:tr>
      <w:tr w:rsidR="00063923" w:rsidRPr="00145150" w14:paraId="5BCC1EDA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0C2AD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7</w:t>
            </w:r>
          </w:p>
          <w:p w14:paraId="71993392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C683E" w14:textId="14232647" w:rsidR="00063923" w:rsidRPr="00063923" w:rsidRDefault="00063923" w:rsidP="00063923">
            <w:r w:rsidRPr="005E52C8">
              <w:t>Strop nad pomieszczeni</w:t>
            </w:r>
            <w:r w:rsidRPr="00063923">
              <w:t>em nieogrzewanym i zamkniętą przestrzenią podpodłogową: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7E444" w14:textId="533EF4E7" w:rsidR="00063923" w:rsidRPr="00063923" w:rsidRDefault="00063923" w:rsidP="00063923">
            <w:pPr>
              <w:pStyle w:val="TEKSTwTABELIWYRODKOWANYtekstwyrodkowanywpoziomie"/>
            </w:pPr>
          </w:p>
          <w:p w14:paraId="189D0B6D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C064B62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86B42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7A98D" w14:textId="23802A97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0799C" w14:textId="7580CC04" w:rsidR="00063923" w:rsidRPr="00063923" w:rsidRDefault="00063923" w:rsidP="00063923">
            <w:pPr>
              <w:pStyle w:val="TEKSTwTABELIWYRODKOWANYtekstwyrodkowanywpoziomie"/>
            </w:pPr>
            <w:r w:rsidRPr="005E52C8">
              <w:t>0,25</w:t>
            </w:r>
          </w:p>
        </w:tc>
      </w:tr>
      <w:tr w:rsidR="00063923" w:rsidRPr="00145150" w14:paraId="5D69D2DB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6D639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550ED" w14:textId="06EEB08F" w:rsidR="00063923" w:rsidRPr="00063923" w:rsidRDefault="00063923" w:rsidP="00063923">
            <w:r w:rsidRPr="005E52C8">
              <w:t xml:space="preserve">b) przy 8°C ≤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16°C,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E76A0" w14:textId="691FB08F" w:rsidR="00063923" w:rsidRPr="00063923" w:rsidRDefault="00063923" w:rsidP="00063923">
            <w:pPr>
              <w:pStyle w:val="TEKSTwTABELIWYRODKOWANYtekstwyrodkowanywpoziomie"/>
            </w:pPr>
            <w:r w:rsidRPr="005E52C8">
              <w:t>0,30</w:t>
            </w:r>
          </w:p>
        </w:tc>
      </w:tr>
      <w:tr w:rsidR="00063923" w:rsidRPr="00145150" w14:paraId="586A6536" w14:textId="77777777" w:rsidTr="00917BE3">
        <w:trPr>
          <w:trHeight w:val="522"/>
        </w:trPr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B09C7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0A39" w14:textId="0DF81F4A" w:rsidR="00063923" w:rsidRPr="0061657D" w:rsidRDefault="00063923" w:rsidP="00063923">
            <w:r w:rsidRPr="005E52C8">
              <w:t xml:space="preserve">c)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EDD2" w14:textId="7FC54892" w:rsidR="00063923" w:rsidRPr="00063923" w:rsidRDefault="00063923" w:rsidP="00063923">
            <w:pPr>
              <w:pStyle w:val="TEKSTwTABELIWYRODKOWANYtekstwyrodkowanywpoziomie"/>
            </w:pPr>
            <w:r w:rsidRPr="005E52C8">
              <w:t>1,00</w:t>
            </w:r>
          </w:p>
        </w:tc>
      </w:tr>
      <w:tr w:rsidR="00063923" w:rsidRPr="00145150" w14:paraId="10A23E8C" w14:textId="77777777" w:rsidTr="00917BE3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B9A3E2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8</w:t>
            </w:r>
          </w:p>
          <w:p w14:paraId="60D0D1B8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0A57A9" w14:textId="02D51C59" w:rsidR="00063923" w:rsidRPr="00063923" w:rsidRDefault="00063923" w:rsidP="00063923">
            <w:r w:rsidRPr="005E52C8">
              <w:t>Strop nad ogrzewanym pomieszczeni</w:t>
            </w:r>
            <w:r w:rsidRPr="00063923">
              <w:t xml:space="preserve">em podziemnym i strop </w:t>
            </w:r>
            <w:proofErr w:type="spellStart"/>
            <w:r w:rsidRPr="00063923">
              <w:t>międzykondygnacyjny</w:t>
            </w:r>
            <w:proofErr w:type="spellEnd"/>
            <w:r w:rsidRPr="00063923">
              <w:t>:</w:t>
            </w:r>
          </w:p>
        </w:tc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1C3BE" w14:textId="314624E6" w:rsidR="00063923" w:rsidRPr="00063923" w:rsidRDefault="00063923" w:rsidP="00063923">
            <w:pPr>
              <w:pStyle w:val="TEKSTwTABELIWYRODKOWANYtekstwyrodkowanywpoziomie"/>
            </w:pPr>
          </w:p>
          <w:p w14:paraId="2B4EFF3B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3E4F4CD7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6389B" w14:textId="77777777" w:rsidR="00063923" w:rsidRPr="005E52C8" w:rsidRDefault="00063923" w:rsidP="00063923"/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6718C" w14:textId="44AD3A3B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8°C,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EB629" w14:textId="4E7DF516" w:rsidR="00063923" w:rsidRPr="00063923" w:rsidRDefault="00063923" w:rsidP="00063923">
            <w:pPr>
              <w:pStyle w:val="TEKSTwTABELIWYRODKOWANYtekstwyrodkowanywpoziomie"/>
            </w:pPr>
            <w:r w:rsidRPr="005E52C8">
              <w:t>1,00</w:t>
            </w:r>
          </w:p>
        </w:tc>
      </w:tr>
      <w:tr w:rsidR="00063923" w:rsidRPr="00145150" w14:paraId="0BA2EA49" w14:textId="77777777" w:rsidTr="00917BE3"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39705" w14:textId="77777777" w:rsidR="00063923" w:rsidRPr="005E52C8" w:rsidRDefault="00063923" w:rsidP="00063923"/>
        </w:tc>
        <w:tc>
          <w:tcPr>
            <w:tcW w:w="20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55629" w14:textId="449FB03E" w:rsidR="00063923" w:rsidRPr="00063923" w:rsidRDefault="00063923" w:rsidP="00063923">
            <w:r w:rsidRPr="005E52C8">
              <w:t xml:space="preserve">b)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8°C,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73758" w14:textId="51302422" w:rsidR="00063923" w:rsidRPr="00063923" w:rsidRDefault="00063923" w:rsidP="00063923">
            <w:pPr>
              <w:pStyle w:val="TEKSTwTABELIWYRODKOWANYtekstwyrodkowanywpoziomie"/>
            </w:pPr>
            <w:r w:rsidRPr="005E52C8">
              <w:t>bez wymagań</w:t>
            </w:r>
          </w:p>
        </w:tc>
      </w:tr>
      <w:tr w:rsidR="00063923" w:rsidRPr="00145150" w14:paraId="111EA782" w14:textId="77777777" w:rsidTr="002534E7">
        <w:trPr>
          <w:trHeight w:val="936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B8A8" w14:textId="77777777" w:rsidR="00063923" w:rsidRPr="005E52C8" w:rsidRDefault="00063923" w:rsidP="00063923"/>
        </w:tc>
        <w:tc>
          <w:tcPr>
            <w:tcW w:w="20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23DE" w14:textId="3D391DF4" w:rsidR="00063923" w:rsidRPr="0061657D" w:rsidRDefault="00063923" w:rsidP="00063923">
            <w:r w:rsidRPr="005E52C8">
              <w:t>c) oddzielające pomieszczenie ogrzewane od nieogrzewanego</w:t>
            </w:r>
          </w:p>
        </w:tc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437" w14:textId="3EE70FB5" w:rsidR="00063923" w:rsidRPr="00063923" w:rsidRDefault="00063923" w:rsidP="00063923">
            <w:pPr>
              <w:pStyle w:val="TEKSTwTABELIWYRODKOWANYtekstwyrodkowanywpoziomie"/>
            </w:pPr>
            <w:r w:rsidRPr="005E52C8">
              <w:t>0,25</w:t>
            </w:r>
          </w:p>
        </w:tc>
      </w:tr>
      <w:tr w:rsidR="00063923" w:rsidRPr="00145150" w14:paraId="102BFBAD" w14:textId="77777777" w:rsidTr="00917BE3">
        <w:trPr>
          <w:trHeight w:val="21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CDB6" w14:textId="1036D0D9" w:rsidR="00063923" w:rsidRPr="00063923" w:rsidRDefault="00063923" w:rsidP="00063923">
            <w:r w:rsidRPr="005E52C8">
              <w:t xml:space="preserve">Pomieszczenie ogrzewane </w:t>
            </w:r>
            <w:r w:rsidRPr="00063923">
              <w:t>– pomieszczenie, w którym na skutek działania systemu ogrzewania lub w wyniku bilansu strat i zysków ciepła utrzymywana jest temperatura, której wartość została określona w § 1</w:t>
            </w:r>
            <w:r w:rsidR="00687D2A">
              <w:t>33</w:t>
            </w:r>
            <w:r w:rsidRPr="00063923">
              <w:t xml:space="preserve"> ust. 2.</w:t>
            </w:r>
          </w:p>
          <w:p w14:paraId="663CB4C1" w14:textId="21F6D9FE" w:rsidR="00063923" w:rsidRPr="00063923" w:rsidRDefault="00063923" w:rsidP="00063923"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– temperatura pomieszczenia ogrzewanego zgodnie z § 1</w:t>
            </w:r>
            <w:r w:rsidR="00687D2A">
              <w:t>33</w:t>
            </w:r>
            <w:r w:rsidRPr="00063923">
              <w:t xml:space="preserve"> ust. 2.</w:t>
            </w:r>
          </w:p>
          <w:p w14:paraId="41EF30B2" w14:textId="77777777" w:rsidR="00063923" w:rsidRPr="00063923" w:rsidRDefault="00063923" w:rsidP="00063923">
            <w:r w:rsidRPr="00F23753">
              <w:rPr>
                <w:rStyle w:val="IGindeksgrny"/>
              </w:rPr>
              <w:t>*</w:t>
            </w:r>
            <w:r w:rsidRPr="0009224A">
              <w:rPr>
                <w:rStyle w:val="IGindeksgrny"/>
              </w:rPr>
              <w:t>)</w:t>
            </w:r>
            <w:r w:rsidRPr="00C864A9">
              <w:rPr>
                <w:rStyle w:val="IGindeksgrny"/>
              </w:rPr>
              <w:t xml:space="preserve"> </w:t>
            </w:r>
            <w:r w:rsidRPr="00063923">
              <w:t>Od 1 stycznia 2028 r. – w przypadku budynku będącego własnością jednostki sektora finansów publicznych</w:t>
            </w:r>
          </w:p>
        </w:tc>
      </w:tr>
    </w:tbl>
    <w:p w14:paraId="0262DB9E" w14:textId="77777777" w:rsidR="00063923" w:rsidRDefault="00063923" w:rsidP="00063923">
      <w:pPr>
        <w:pStyle w:val="USTustnpkodeksu"/>
      </w:pPr>
    </w:p>
    <w:p w14:paraId="258FDF9E" w14:textId="77777777" w:rsidR="00063923" w:rsidRDefault="00063923" w:rsidP="00135163">
      <w:pPr>
        <w:pStyle w:val="LITlitera"/>
      </w:pPr>
      <w:r w:rsidRPr="00D2231C">
        <w:lastRenderedPageBreak/>
        <w:t>1.2.</w:t>
      </w:r>
      <w:r w:rsidRPr="00D2231C">
        <w:tab/>
        <w:t>Wartości współczynnika przenikania ciepła U ok</w:t>
      </w:r>
      <w:r>
        <w:t>na</w:t>
      </w:r>
      <w:r w:rsidRPr="00D2231C">
        <w:t>, drzwi balkonowych, drzwi zewnętrznych i powierzchni prze</w:t>
      </w:r>
      <w:r>
        <w:t>z</w:t>
      </w:r>
      <w:r w:rsidRPr="00D2231C">
        <w:t>roczyst</w:t>
      </w:r>
      <w:r>
        <w:t>ej</w:t>
      </w:r>
      <w:r w:rsidRPr="00D2231C">
        <w:t xml:space="preserve"> nieotwieraln</w:t>
      </w:r>
      <w:r>
        <w:t>ej</w:t>
      </w:r>
      <w:r w:rsidRPr="00D2231C">
        <w:t>, dla wszystkich rodzajów budynków, nie mogą być większe niż wartości U</w:t>
      </w:r>
      <w:r w:rsidRPr="0061657D">
        <w:rPr>
          <w:rStyle w:val="IDindeksdolny"/>
        </w:rPr>
        <w:t>(max)</w:t>
      </w:r>
      <w:r w:rsidRPr="00D2231C">
        <w:t xml:space="preserve"> określone w poniższej tabeli:</w:t>
      </w:r>
    </w:p>
    <w:p w14:paraId="1B82721E" w14:textId="77777777" w:rsidR="00063923" w:rsidRDefault="00063923" w:rsidP="00063923"/>
    <w:tbl>
      <w:tblPr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4506"/>
        <w:gridCol w:w="3969"/>
      </w:tblGrid>
      <w:tr w:rsidR="00063923" w:rsidRPr="00145150" w14:paraId="2DCF3287" w14:textId="77777777" w:rsidTr="00917BE3">
        <w:trPr>
          <w:trHeight w:val="83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0987A" w14:textId="77777777" w:rsidR="00063923" w:rsidRDefault="00063923" w:rsidP="00063923">
            <w:pPr>
              <w:pStyle w:val="TEKSTwTABELIWYRODKOWANYtekstwyrodkowanywpoziomie"/>
            </w:pPr>
          </w:p>
          <w:p w14:paraId="72C66745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Lp.</w:t>
            </w:r>
          </w:p>
          <w:p w14:paraId="4074B216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E0BEBF" w14:textId="77777777" w:rsidR="00063923" w:rsidRDefault="00063923" w:rsidP="00063923">
            <w:pPr>
              <w:pStyle w:val="TEKSTwTABELIWYRODKOWANYtekstwyrodkowanywpoziomie"/>
            </w:pPr>
          </w:p>
          <w:p w14:paraId="64028D89" w14:textId="16AE0191" w:rsidR="00063923" w:rsidRPr="00063923" w:rsidRDefault="00063923" w:rsidP="00063923">
            <w:pPr>
              <w:pStyle w:val="TEKSTwTABELIWYRODKOWANYtekstwyrodkowanywpoziomie"/>
            </w:pPr>
            <w:r w:rsidRPr="005E52C8">
              <w:t>Okn</w:t>
            </w:r>
            <w:r w:rsidRPr="00063923">
              <w:t>o, drzwi balkonowe i drzwi zewnętrzne</w:t>
            </w:r>
          </w:p>
          <w:p w14:paraId="50FCAD0A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97A8" w14:textId="77777777" w:rsidR="002534E7" w:rsidRDefault="002534E7" w:rsidP="00063923">
            <w:pPr>
              <w:pStyle w:val="TEKSTwTABELIWYRODKOWANYtekstwyrodkowanywpoziomie"/>
            </w:pPr>
          </w:p>
          <w:p w14:paraId="08874489" w14:textId="582AC6A5" w:rsidR="00063923" w:rsidRPr="00063923" w:rsidRDefault="00063923" w:rsidP="00063923">
            <w:pPr>
              <w:pStyle w:val="TEKSTwTABELIWYRODKOWANYtekstwyrodkowanywpoziomie"/>
            </w:pPr>
            <w:bookmarkStart w:id="0" w:name="_Hlk200541340"/>
            <w:r w:rsidRPr="005E52C8">
              <w:t>Współczynnik przenikania ciepła U</w:t>
            </w:r>
            <w:r w:rsidRPr="00063923">
              <w:rPr>
                <w:rStyle w:val="IDindeksdolny"/>
              </w:rPr>
              <w:t>(max)</w:t>
            </w:r>
            <w:r w:rsidRPr="00063923">
              <w:br/>
              <w:t>[W/(m</w:t>
            </w:r>
            <w:r w:rsidRPr="00063923">
              <w:rPr>
                <w:rStyle w:val="IGindeksgrny"/>
              </w:rPr>
              <w:t>2</w:t>
            </w:r>
            <w:r w:rsidRPr="00063923">
              <w:t xml:space="preserve"> · K)]</w:t>
            </w:r>
          </w:p>
          <w:bookmarkEnd w:id="0"/>
          <w:p w14:paraId="485CDE76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0E95AEEA" w14:textId="77777777" w:rsidTr="00917BE3">
        <w:trPr>
          <w:trHeight w:val="54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40D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6A" w14:textId="2C7EE321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  <w:p w14:paraId="3B19877A" w14:textId="77777777" w:rsidR="00063923" w:rsidRPr="0061657D" w:rsidRDefault="00063923" w:rsidP="00063923">
            <w:pPr>
              <w:pStyle w:val="TEKSTwTABELIWYRODKOWANYtekstwyrodkowanywpoziomie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36C9" w14:textId="1ADC3F75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</w:tr>
      <w:tr w:rsidR="00063923" w:rsidRPr="00145150" w14:paraId="28527563" w14:textId="77777777" w:rsidTr="00917BE3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3FE15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  <w:p w14:paraId="5A173283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99EFC" w14:textId="27E6EC40" w:rsidR="00063923" w:rsidRPr="00063923" w:rsidRDefault="00063923" w:rsidP="00063923">
            <w:r w:rsidRPr="005E52C8">
              <w:t>Okn</w:t>
            </w:r>
            <w:r w:rsidRPr="00063923">
              <w:t>o (z wyjątkiem okna połaciowego), drzwi balkonowe i powierzchnia przezroczysta nieotwieralna: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509C1" w14:textId="0E7B3683" w:rsidR="00063923" w:rsidRPr="00063923" w:rsidRDefault="00063923" w:rsidP="00063923">
            <w:pPr>
              <w:pStyle w:val="TEKSTwTABELIWYRODKOWANYtekstwyrodkowanywpoziomie"/>
            </w:pPr>
          </w:p>
          <w:p w14:paraId="666413A4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AD75148" w14:textId="77777777" w:rsidTr="00917BE3"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E25A3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6D3C7" w14:textId="6102109D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≥16°C,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752FC" w14:textId="539BA7CF" w:rsidR="00063923" w:rsidRPr="00063923" w:rsidRDefault="00063923" w:rsidP="00063923">
            <w:pPr>
              <w:pStyle w:val="TEKSTwTABELIWYRODKOWANYtekstwyrodkowanywpoziomie"/>
            </w:pPr>
            <w:r w:rsidRPr="005E52C8">
              <w:t>0,9</w:t>
            </w:r>
            <w:r w:rsidRPr="00063923">
              <w:t>0</w:t>
            </w:r>
          </w:p>
        </w:tc>
      </w:tr>
      <w:tr w:rsidR="00063923" w:rsidRPr="00145150" w14:paraId="21264642" w14:textId="77777777" w:rsidTr="00917BE3">
        <w:trPr>
          <w:trHeight w:val="561"/>
        </w:trPr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618CA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CADC" w14:textId="27444E2C" w:rsidR="00063923" w:rsidRPr="00063923" w:rsidRDefault="00063923" w:rsidP="00063923">
            <w:r w:rsidRPr="005E52C8">
              <w:t xml:space="preserve">b) przy </w:t>
            </w:r>
            <w:proofErr w:type="spellStart"/>
            <w:r w:rsidRPr="00063923">
              <w:rPr>
                <w:rStyle w:val="IDindeksdolny"/>
              </w:rPr>
              <w:t>ti</w:t>
            </w:r>
            <w:proofErr w:type="spellEnd"/>
            <w:r w:rsidRPr="00063923">
              <w:t xml:space="preserve"> &lt; 16°C</w:t>
            </w:r>
          </w:p>
          <w:p w14:paraId="72D02CB7" w14:textId="77777777" w:rsidR="00063923" w:rsidRPr="0061657D" w:rsidRDefault="00063923" w:rsidP="00063923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DAB" w14:textId="15818D7D" w:rsidR="00063923" w:rsidRPr="00063923" w:rsidRDefault="00063923" w:rsidP="00063923">
            <w:pPr>
              <w:pStyle w:val="TEKSTwTABELIWYRODKOWANYtekstwyrodkowanywpoziomie"/>
            </w:pPr>
            <w:r w:rsidRPr="005E52C8">
              <w:t>1,4</w:t>
            </w:r>
            <w:r w:rsidRPr="00063923">
              <w:t>0</w:t>
            </w:r>
          </w:p>
        </w:tc>
      </w:tr>
      <w:tr w:rsidR="00063923" w:rsidRPr="00145150" w14:paraId="22E6F7C6" w14:textId="77777777" w:rsidTr="00917BE3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22359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2F136" w14:textId="0277C07C" w:rsidR="00063923" w:rsidRPr="00063923" w:rsidRDefault="00063923" w:rsidP="00063923">
            <w:r w:rsidRPr="005E52C8">
              <w:t>Okn</w:t>
            </w:r>
            <w:r w:rsidRPr="00063923">
              <w:t>o połaciowe: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C8354" w14:textId="261DAD5C" w:rsidR="00063923" w:rsidRPr="00063923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117F03D" w14:textId="77777777" w:rsidTr="00917BE3"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C1AA2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67910" w14:textId="472007FF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16°C,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F4E34" w14:textId="5B9057B2" w:rsidR="00063923" w:rsidRPr="00063923" w:rsidRDefault="00063923" w:rsidP="00063923">
            <w:pPr>
              <w:pStyle w:val="TEKSTwTABELIWYRODKOWANYtekstwyrodkowanywpoziomie"/>
            </w:pPr>
            <w:r w:rsidRPr="005E52C8">
              <w:t>1,1</w:t>
            </w:r>
            <w:r w:rsidRPr="00063923">
              <w:t>0</w:t>
            </w:r>
          </w:p>
        </w:tc>
      </w:tr>
      <w:tr w:rsidR="00063923" w:rsidRPr="00145150" w14:paraId="5ADDD139" w14:textId="77777777" w:rsidTr="00917BE3">
        <w:trPr>
          <w:trHeight w:val="620"/>
        </w:trPr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683BB7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9002" w14:textId="32DFAF43" w:rsidR="00063923" w:rsidRPr="00063923" w:rsidRDefault="00063923" w:rsidP="00063923">
            <w:r w:rsidRPr="005E52C8">
              <w:t xml:space="preserve">b) przy </w:t>
            </w:r>
            <w:proofErr w:type="spellStart"/>
            <w:r w:rsidRPr="005E52C8">
              <w:t>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16°C</w:t>
            </w:r>
          </w:p>
          <w:p w14:paraId="45EC5CDD" w14:textId="77777777" w:rsidR="00063923" w:rsidRPr="0061657D" w:rsidRDefault="00063923" w:rsidP="00063923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76B6" w14:textId="4B81271F" w:rsidR="00063923" w:rsidRPr="00063923" w:rsidRDefault="00063923" w:rsidP="00063923">
            <w:pPr>
              <w:pStyle w:val="TEKSTwTABELIWYRODKOWANYtekstwyrodkowanywpoziomie"/>
            </w:pPr>
            <w:r w:rsidRPr="005E52C8">
              <w:t>1,4</w:t>
            </w:r>
            <w:r w:rsidRPr="00063923">
              <w:t>0</w:t>
            </w:r>
          </w:p>
        </w:tc>
      </w:tr>
      <w:tr w:rsidR="00063923" w:rsidRPr="00145150" w14:paraId="5CC7F76D" w14:textId="77777777" w:rsidTr="00917BE3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B05EE3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4E283" w14:textId="4A535DDA" w:rsidR="00063923" w:rsidRPr="00063923" w:rsidRDefault="00063923" w:rsidP="00063923">
            <w:r w:rsidRPr="005E52C8">
              <w:t>Okn</w:t>
            </w:r>
            <w:r w:rsidRPr="00063923">
              <w:t>o w ścianie wewnętrznej: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29056" w14:textId="34C6B9D6" w:rsidR="00063923" w:rsidRPr="00063923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06774E35" w14:textId="77777777" w:rsidTr="00917BE3"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BF5AC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CC8F7" w14:textId="7B445D17" w:rsidR="00063923" w:rsidRPr="00063923" w:rsidRDefault="00063923" w:rsidP="00063923">
            <w:r w:rsidRPr="005E52C8">
              <w:t xml:space="preserve">a)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≥ 8°C,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65A68" w14:textId="46D41DF5" w:rsidR="00063923" w:rsidRPr="00063923" w:rsidRDefault="00063923" w:rsidP="00063923">
            <w:pPr>
              <w:pStyle w:val="TEKSTwTABELIWYRODKOWANYtekstwyrodkowanywpoziomie"/>
            </w:pPr>
            <w:r w:rsidRPr="005E52C8">
              <w:t>1,1</w:t>
            </w:r>
            <w:r w:rsidRPr="00063923">
              <w:t>0</w:t>
            </w:r>
          </w:p>
        </w:tc>
      </w:tr>
      <w:tr w:rsidR="00063923" w:rsidRPr="00145150" w14:paraId="2FEAEB77" w14:textId="77777777" w:rsidTr="00917BE3"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FF5A3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F3266" w14:textId="08B446F3" w:rsidR="00063923" w:rsidRPr="00063923" w:rsidRDefault="00063923" w:rsidP="00063923">
            <w:r w:rsidRPr="005E52C8">
              <w:t xml:space="preserve">b) przy </w:t>
            </w:r>
            <w:proofErr w:type="spellStart"/>
            <w:r w:rsidRPr="005E52C8">
              <w:t>Δt</w:t>
            </w:r>
            <w:r w:rsidRPr="00063923">
              <w:rPr>
                <w:rStyle w:val="IDindeksdolny"/>
              </w:rPr>
              <w:t>i</w:t>
            </w:r>
            <w:proofErr w:type="spellEnd"/>
            <w:r w:rsidRPr="00063923">
              <w:t xml:space="preserve"> &lt; 8°C,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D5822" w14:textId="528E2A54" w:rsidR="00063923" w:rsidRPr="00063923" w:rsidRDefault="00063923" w:rsidP="00063923">
            <w:pPr>
              <w:pStyle w:val="TEKSTwTABELIWYRODKOWANYtekstwyrodkowanywpoziomie"/>
            </w:pPr>
            <w:r w:rsidRPr="005E52C8">
              <w:t>bez wymagań</w:t>
            </w:r>
          </w:p>
        </w:tc>
      </w:tr>
      <w:tr w:rsidR="00063923" w:rsidRPr="00145150" w14:paraId="2AEB31C7" w14:textId="77777777" w:rsidTr="00917BE3">
        <w:trPr>
          <w:trHeight w:val="884"/>
        </w:trPr>
        <w:tc>
          <w:tcPr>
            <w:tcW w:w="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80946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A27C" w14:textId="07129B0B" w:rsidR="00063923" w:rsidRPr="00063923" w:rsidRDefault="00063923" w:rsidP="00063923">
            <w:r w:rsidRPr="005E52C8">
              <w:t>c) oddzielające pomieszczenie ogrzewane od nieogrzewanego</w:t>
            </w:r>
          </w:p>
          <w:p w14:paraId="572E6A01" w14:textId="77777777" w:rsidR="00063923" w:rsidRPr="0061657D" w:rsidRDefault="00063923" w:rsidP="00063923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84FA" w14:textId="32FAA8B1" w:rsidR="00063923" w:rsidRPr="00063923" w:rsidRDefault="00063923" w:rsidP="00063923">
            <w:pPr>
              <w:pStyle w:val="TEKSTwTABELIWYRODKOWANYtekstwyrodkowanywpoziomie"/>
            </w:pPr>
            <w:r w:rsidRPr="005E52C8">
              <w:t>1,1</w:t>
            </w:r>
            <w:r w:rsidRPr="00063923">
              <w:t>0</w:t>
            </w:r>
          </w:p>
        </w:tc>
      </w:tr>
      <w:tr w:rsidR="00063923" w:rsidRPr="00145150" w14:paraId="7B7EBDA5" w14:textId="77777777" w:rsidTr="00917BE3">
        <w:trPr>
          <w:trHeight w:val="126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9A9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4</w:t>
            </w:r>
          </w:p>
          <w:p w14:paraId="3404FE1F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A7CE" w14:textId="6FD2A266" w:rsidR="00063923" w:rsidRPr="00063923" w:rsidRDefault="00063923" w:rsidP="00063923">
            <w:r w:rsidRPr="005E52C8">
              <w:t>Drzwi w przegrod</w:t>
            </w:r>
            <w:r w:rsidRPr="00063923">
              <w:t>zie zewnętrznej lub w przegrodzie między pomieszczeniem ogrzewanym i nieogrzewanym</w:t>
            </w:r>
          </w:p>
          <w:p w14:paraId="0E535AB0" w14:textId="77777777" w:rsidR="00063923" w:rsidRPr="0061657D" w:rsidRDefault="00063923" w:rsidP="00063923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C50A" w14:textId="55264F6A" w:rsidR="00063923" w:rsidRPr="00063923" w:rsidRDefault="00063923" w:rsidP="00063923">
            <w:pPr>
              <w:pStyle w:val="TEKSTwTABELIWYRODKOWANYtekstwyrodkowanywpoziomie"/>
            </w:pPr>
            <w:r w:rsidRPr="005E52C8">
              <w:t>1,3</w:t>
            </w:r>
            <w:r w:rsidRPr="00063923">
              <w:t>0</w:t>
            </w:r>
          </w:p>
          <w:p w14:paraId="33F5E5D4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7E7C04AF" w14:textId="77777777" w:rsidTr="00917BE3">
        <w:trPr>
          <w:trHeight w:val="97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55A8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5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EB78" w14:textId="7EAD261A" w:rsidR="00063923" w:rsidRPr="00063923" w:rsidRDefault="00063923" w:rsidP="00063923">
            <w:r w:rsidRPr="005E52C8">
              <w:t>Okn</w:t>
            </w:r>
            <w:r w:rsidRPr="00063923">
              <w:t>o i drzwi zewnętrzne w przegrodzie zewnętrznej pomieszczenia nieogrzewanego</w:t>
            </w:r>
          </w:p>
          <w:p w14:paraId="461E217A" w14:textId="77777777" w:rsidR="00063923" w:rsidRPr="0061657D" w:rsidRDefault="00063923" w:rsidP="00063923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18B8" w14:textId="39C1696E" w:rsidR="00063923" w:rsidRPr="00063923" w:rsidRDefault="00063923" w:rsidP="00063923">
            <w:pPr>
              <w:pStyle w:val="TEKSTwTABELIWYRODKOWANYtekstwyrodkowanywpoziomie"/>
            </w:pPr>
            <w:r w:rsidRPr="005E52C8">
              <w:t>bez wymagań</w:t>
            </w:r>
          </w:p>
        </w:tc>
      </w:tr>
      <w:tr w:rsidR="00063923" w:rsidRPr="00145150" w14:paraId="3B38C462" w14:textId="77777777" w:rsidTr="00917BE3">
        <w:trPr>
          <w:trHeight w:val="197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B677" w14:textId="1615B1DA" w:rsidR="00063923" w:rsidRPr="00063923" w:rsidRDefault="00063923" w:rsidP="00063923">
            <w:r w:rsidRPr="005E52C8">
              <w:t xml:space="preserve">Pomieszczenie ogrzewane </w:t>
            </w:r>
            <w:r w:rsidRPr="00063923">
              <w:t>– pomieszczenie, w którym na skutek działania systemu ogrzewania lub w wyniku bilansu strat i zysków ciepła utrzymywana jest temperatura, której wartość została określona w § 1</w:t>
            </w:r>
            <w:r w:rsidR="00687D2A">
              <w:t>33</w:t>
            </w:r>
            <w:r w:rsidRPr="00063923">
              <w:t xml:space="preserve"> ust. 2.</w:t>
            </w:r>
          </w:p>
          <w:p w14:paraId="2680EE0A" w14:textId="77777777" w:rsidR="00063923" w:rsidRPr="00063923" w:rsidRDefault="00063923" w:rsidP="00063923">
            <w:r>
              <w:t xml:space="preserve"> </w:t>
            </w:r>
            <w:r w:rsidRPr="00063923">
              <w:rPr>
                <w:rStyle w:val="IGindeksgrny"/>
              </w:rPr>
              <w:t>*</w:t>
            </w:r>
            <w:r w:rsidRPr="0009224A">
              <w:rPr>
                <w:rStyle w:val="IGindeksgrny"/>
              </w:rPr>
              <w:t>)</w:t>
            </w:r>
            <w:r w:rsidRPr="00C864A9">
              <w:rPr>
                <w:rStyle w:val="IGindeksgrny"/>
              </w:rPr>
              <w:t xml:space="preserve"> </w:t>
            </w:r>
            <w:r w:rsidRPr="00063923">
              <w:t>Od 1 stycznia 2028 r. – w przypadku budynku będącego własnością jednostki sektora finansów publicznych</w:t>
            </w:r>
          </w:p>
        </w:tc>
      </w:tr>
    </w:tbl>
    <w:p w14:paraId="0BD2B9C6" w14:textId="77777777" w:rsidR="00063923" w:rsidRPr="00D2231C" w:rsidRDefault="00063923" w:rsidP="00063923"/>
    <w:p w14:paraId="2E2D9010" w14:textId="77777777" w:rsidR="00063923" w:rsidRPr="00D2231C" w:rsidRDefault="00063923" w:rsidP="00135163">
      <w:pPr>
        <w:pStyle w:val="LITlitera"/>
      </w:pPr>
      <w:r w:rsidRPr="00D2231C">
        <w:lastRenderedPageBreak/>
        <w:t>1.3.</w:t>
      </w:r>
      <w:r w:rsidRPr="00D2231C">
        <w:tab/>
        <w:t>Dopuszcza się dla budynku produkcyjnego, magazynowego i gospodarczego większe wartości współczynnika U niż U</w:t>
      </w:r>
      <w:r w:rsidRPr="004F2560">
        <w:rPr>
          <w:rStyle w:val="IDindeksdolny"/>
        </w:rPr>
        <w:t>C</w:t>
      </w:r>
      <w:r w:rsidRPr="0061657D">
        <w:rPr>
          <w:rStyle w:val="IDindeksdolny"/>
        </w:rPr>
        <w:t>(max)</w:t>
      </w:r>
      <w:r w:rsidRPr="00D2231C">
        <w:t xml:space="preserve"> oraz U</w:t>
      </w:r>
      <w:r w:rsidRPr="0061657D">
        <w:rPr>
          <w:rStyle w:val="IDindeksdolny"/>
        </w:rPr>
        <w:t>(max)</w:t>
      </w:r>
      <w:r w:rsidRPr="00D2231C">
        <w:t xml:space="preserve"> określone w pkt 1.1. i 1.2., jeżeli uzasadnia to rachunek efektywności ekonomicznej inwestycji, obejmujący koszty budowy i eksploatacji budynku.</w:t>
      </w:r>
    </w:p>
    <w:p w14:paraId="24FC72F5" w14:textId="77777777" w:rsidR="00063923" w:rsidRPr="00D2231C" w:rsidRDefault="00063923" w:rsidP="00135163">
      <w:pPr>
        <w:pStyle w:val="LITlitera"/>
      </w:pPr>
      <w:r w:rsidRPr="00D2231C">
        <w:t>1.4.</w:t>
      </w:r>
      <w:r w:rsidRPr="00D2231C">
        <w:tab/>
        <w:t xml:space="preserve">W budynku mieszkalnym, zamieszkania zbiorowego, użyteczności publicznej, produkcyjnym, magazynowym i gospodarczym podłoga na gruncie w ogrzewanym pomieszczeniu </w:t>
      </w:r>
      <w:r>
        <w:t xml:space="preserve">ma mieć </w:t>
      </w:r>
      <w:r w:rsidRPr="00D2231C">
        <w:t>izolację cieplną obwodową z materiału izolacyjnego w</w:t>
      </w:r>
      <w:r>
        <w:t> </w:t>
      </w:r>
      <w:r w:rsidRPr="00D2231C">
        <w:t>postaci warstwy o oporze cieplnym co najmniej 2,0 (m</w:t>
      </w:r>
      <w:r w:rsidRPr="0061657D">
        <w:rPr>
          <w:rStyle w:val="IGindeksgrny"/>
        </w:rPr>
        <w:t>2</w:t>
      </w:r>
      <w:r w:rsidRPr="00D2231C">
        <w:t xml:space="preserve"> · K) /W, przy czym opór cieplny warstw podłogowych oblicza się zgodnie z Polskimi Normami</w:t>
      </w:r>
      <w:r>
        <w:t xml:space="preserve"> </w:t>
      </w:r>
      <w:r w:rsidRPr="00415884">
        <w:t>dotyczącymi obliczania oporu cieplnego i współczynnika przenikania ciepła oraz przenoszenia ciepła przez grunt</w:t>
      </w:r>
      <w:r w:rsidRPr="00D2231C">
        <w:t>.</w:t>
      </w:r>
    </w:p>
    <w:p w14:paraId="03D2DCE0" w14:textId="77777777" w:rsidR="00063923" w:rsidRDefault="00063923" w:rsidP="00135163">
      <w:pPr>
        <w:pStyle w:val="LITlitera"/>
      </w:pPr>
      <w:r w:rsidRPr="00D2231C">
        <w:t>1.5.</w:t>
      </w:r>
      <w:r w:rsidRPr="00D2231C">
        <w:tab/>
      </w:r>
      <w:bookmarkStart w:id="1" w:name="_Hlk194406898"/>
      <w:r w:rsidRPr="00D2231C">
        <w:t>Izolacja cieplna przewodów rozdzielczych i komponentów w instalacj</w:t>
      </w:r>
      <w:r>
        <w:t>i</w:t>
      </w:r>
      <w:r w:rsidRPr="00D2231C">
        <w:t xml:space="preserve"> centralnego ogrzewania, ciepłej wody użytkowej (w tym przewodów cyrkulacyjnych), instalacji chłodu</w:t>
      </w:r>
      <w:r>
        <w:t xml:space="preserve"> </w:t>
      </w:r>
      <w:r w:rsidRPr="00D2231C">
        <w:t>i ogrzewania powietrznego</w:t>
      </w:r>
      <w:bookmarkEnd w:id="1"/>
      <w:r w:rsidRPr="00D2231C">
        <w:t xml:space="preserve"> </w:t>
      </w:r>
      <w:r>
        <w:t xml:space="preserve">ma spełniać </w:t>
      </w:r>
      <w:r w:rsidRPr="00D2231C">
        <w:t xml:space="preserve">następujące </w:t>
      </w:r>
      <w:r>
        <w:t>wymagania</w:t>
      </w:r>
      <w:r w:rsidRPr="00D2231C">
        <w:t xml:space="preserve"> minimalne określone</w:t>
      </w:r>
      <w:r>
        <w:t xml:space="preserve"> </w:t>
      </w:r>
      <w:r w:rsidRPr="00D2231C">
        <w:t>w poniższej tabeli:</w:t>
      </w:r>
    </w:p>
    <w:p w14:paraId="4B7035DF" w14:textId="77777777" w:rsidR="00063923" w:rsidRDefault="00063923" w:rsidP="00063923">
      <w:pPr>
        <w:pStyle w:val="USTustnpkodeksu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5442"/>
        <w:gridCol w:w="3063"/>
      </w:tblGrid>
      <w:tr w:rsidR="00063923" w:rsidRPr="00145150" w14:paraId="60FB4DD1" w14:textId="77777777" w:rsidTr="00917BE3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8434" w14:textId="77777777" w:rsidR="00063923" w:rsidRDefault="00063923" w:rsidP="00063923">
            <w:pPr>
              <w:pStyle w:val="TEKSTwTABELIWYRODKOWANYtekstwyrodkowanywpoziomie"/>
            </w:pPr>
          </w:p>
          <w:p w14:paraId="760F90B6" w14:textId="77777777" w:rsidR="00063923" w:rsidRDefault="00063923" w:rsidP="00063923">
            <w:pPr>
              <w:pStyle w:val="TEKSTwTABELIWYRODKOWANYtekstwyrodkowanywpoziomie"/>
            </w:pPr>
          </w:p>
          <w:p w14:paraId="4E2F7D71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Lp.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47A" w14:textId="2F9CA6C1" w:rsidR="00063923" w:rsidRPr="00063923" w:rsidRDefault="00063923" w:rsidP="00063923">
            <w:pPr>
              <w:pStyle w:val="TEKSTwTABELIWYRODKOWANYtekstwyrodkowanywpoziomie"/>
            </w:pPr>
          </w:p>
          <w:p w14:paraId="190BA96E" w14:textId="77777777" w:rsidR="00063923" w:rsidRDefault="00063923" w:rsidP="00063923">
            <w:pPr>
              <w:pStyle w:val="TEKSTwTABELIWYRODKOWANYtekstwyrodkowanywpoziomie"/>
            </w:pPr>
          </w:p>
          <w:p w14:paraId="6F6FA1C5" w14:textId="77777777" w:rsidR="00063923" w:rsidRPr="00063923" w:rsidRDefault="00063923" w:rsidP="00063923">
            <w:pPr>
              <w:pStyle w:val="TEKSTwTABELIWYRODKOWANYtekstwyrodkowanywpoziomie"/>
            </w:pPr>
            <w:r>
              <w:t>Rodzaj przewodu lub komponentu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0757" w14:textId="36ECA5AD" w:rsidR="00063923" w:rsidRPr="00063923" w:rsidRDefault="00063923" w:rsidP="00063923">
            <w:pPr>
              <w:pStyle w:val="TEKSTwTABELIWYRODKOWANYtekstwyrodkowanywpoziomie"/>
            </w:pPr>
            <w:r w:rsidRPr="00063923">
              <w:t xml:space="preserve">Minimalna grubość izolacji cieplnej (materiał o współczynniku przewodzenia ciepła w średniej temperaturze 40 °C dla izolacji na przewodach grzewczych i cieplej wody użytkowej, oraz w temperaturze 0°C dla przewodów instalacji wody lodowej) </w:t>
            </w:r>
          </w:p>
          <w:p w14:paraId="518C6959" w14:textId="033958C5" w:rsidR="00063923" w:rsidRPr="00063923" w:rsidRDefault="00063923" w:rsidP="00063923">
            <w:pPr>
              <w:pStyle w:val="TEKSTwTABELIWYRODKOWANYtekstwyrodkowanywpoziomie"/>
            </w:pPr>
            <w:bookmarkStart w:id="2" w:name="_Hlk200541364"/>
            <w:r w:rsidRPr="00063923">
              <w:sym w:font="Symbol" w:char="F06C"/>
            </w:r>
            <w:r w:rsidRPr="00063923">
              <w:t>=0,035 W/(</w:t>
            </w:r>
            <w:r w:rsidR="00441280">
              <w:t xml:space="preserve">m </w:t>
            </w:r>
            <w:r w:rsidR="00441280" w:rsidRPr="00441280">
              <w:t>·</w:t>
            </w:r>
            <w:r w:rsidR="00441280">
              <w:t xml:space="preserve"> </w:t>
            </w:r>
            <w:r w:rsidRPr="00063923">
              <w:t>K)</w:t>
            </w:r>
            <w:r w:rsidRPr="00063923">
              <w:rPr>
                <w:rStyle w:val="IGindeksgrny"/>
              </w:rPr>
              <w:t>1)</w:t>
            </w:r>
          </w:p>
          <w:bookmarkEnd w:id="2"/>
          <w:p w14:paraId="12B265E2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147A216" w14:textId="77777777" w:rsidTr="00917BE3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260A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  <w:p w14:paraId="28F122AE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26E8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2</w:t>
            </w:r>
          </w:p>
          <w:p w14:paraId="43FD66E0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BFC" w14:textId="31998749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  <w:p w14:paraId="6F815FDD" w14:textId="77777777" w:rsidR="00063923" w:rsidRPr="005E52C8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010D305A" w14:textId="77777777" w:rsidTr="00917BE3">
        <w:trPr>
          <w:trHeight w:val="40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091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D003" w14:textId="7B06D8B3" w:rsidR="00063923" w:rsidRPr="00063923" w:rsidRDefault="00063923" w:rsidP="00063923">
            <w:r w:rsidRPr="005E52C8">
              <w:t>Średnica wewnętrzna do 22 mm</w:t>
            </w:r>
          </w:p>
          <w:p w14:paraId="616CF68D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7BE8" w14:textId="69E7C0D3" w:rsidR="00063923" w:rsidRPr="00063923" w:rsidRDefault="00063923" w:rsidP="00063923">
            <w:pPr>
              <w:pStyle w:val="TEKSTwTABELIWYRODKOWANYtekstwyrodkowanywpoziomie"/>
            </w:pPr>
            <w:r w:rsidRPr="005E52C8">
              <w:t>20 mm</w:t>
            </w:r>
          </w:p>
        </w:tc>
      </w:tr>
      <w:tr w:rsidR="00063923" w:rsidRPr="00145150" w14:paraId="109EDFB0" w14:textId="77777777" w:rsidTr="00917BE3">
        <w:trPr>
          <w:trHeight w:val="41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A198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2733" w14:textId="3ECDDF93" w:rsidR="00063923" w:rsidRPr="00063923" w:rsidRDefault="00063923" w:rsidP="00063923">
            <w:r w:rsidRPr="005E52C8">
              <w:t>Średnica wewnętrzna od 22 do 35 mm</w:t>
            </w:r>
          </w:p>
          <w:p w14:paraId="51C4B2F5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3C45" w14:textId="7ADD5F87" w:rsidR="00063923" w:rsidRPr="00063923" w:rsidRDefault="00063923" w:rsidP="00063923">
            <w:pPr>
              <w:pStyle w:val="TEKSTwTABELIWYRODKOWANYtekstwyrodkowanywpoziomie"/>
            </w:pPr>
            <w:r w:rsidRPr="005E52C8">
              <w:t>30 mm</w:t>
            </w:r>
          </w:p>
        </w:tc>
      </w:tr>
      <w:tr w:rsidR="00063923" w:rsidRPr="00145150" w14:paraId="78B39864" w14:textId="77777777" w:rsidTr="00917BE3">
        <w:trPr>
          <w:trHeight w:val="68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1465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2CAC" w14:textId="298A6EEA" w:rsidR="00063923" w:rsidRPr="00063923" w:rsidRDefault="00063923" w:rsidP="00063923">
            <w:r w:rsidRPr="005E52C8">
              <w:t>Średnica wewnętrzna od 35 do 100 mm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B55A" w14:textId="19A6A812" w:rsidR="00063923" w:rsidRPr="00063923" w:rsidRDefault="00063923" w:rsidP="00063923">
            <w:pPr>
              <w:pStyle w:val="TEKSTwTABELIWYRODKOWANYtekstwyrodkowanywpoziomie"/>
            </w:pPr>
            <w:r w:rsidRPr="005E52C8">
              <w:t>równa średnicy wewnętrznej rury</w:t>
            </w:r>
          </w:p>
          <w:p w14:paraId="204B02B5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173849E4" w14:textId="77777777" w:rsidTr="00917BE3">
        <w:trPr>
          <w:trHeight w:val="41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2ED7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lastRenderedPageBreak/>
              <w:t>4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A0FB" w14:textId="50B4441C" w:rsidR="00063923" w:rsidRPr="00063923" w:rsidRDefault="00063923" w:rsidP="00063923">
            <w:r w:rsidRPr="005E52C8">
              <w:t>Średnica wewnętrzna ponad 100 mm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A3D7" w14:textId="19B91877" w:rsidR="00063923" w:rsidRPr="00063923" w:rsidRDefault="00063923" w:rsidP="00063923">
            <w:pPr>
              <w:pStyle w:val="TEKSTwTABELIWYRODKOWANYtekstwyrodkowanywpoziomie"/>
            </w:pPr>
            <w:r w:rsidRPr="005E52C8">
              <w:t>100 mm</w:t>
            </w:r>
          </w:p>
          <w:p w14:paraId="7F811CBC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3E9EECC0" w14:textId="77777777" w:rsidTr="00917BE3">
        <w:trPr>
          <w:trHeight w:val="69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7163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5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E0B2" w14:textId="2EA5D465" w:rsidR="00063923" w:rsidRPr="00063923" w:rsidRDefault="00063923" w:rsidP="00063923">
            <w:r w:rsidRPr="005E52C8">
              <w:t>Przewody i armatura wg lp. 1</w:t>
            </w:r>
            <w:r w:rsidRPr="00063923">
              <w:t>–4 przechodzące przez ścianę lub strop, skrzyżowania przewodów</w:t>
            </w:r>
          </w:p>
          <w:p w14:paraId="3DC9DE90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023F" w14:textId="0EDB9A3F" w:rsidR="00063923" w:rsidRPr="00063923" w:rsidRDefault="00063923" w:rsidP="00063923">
            <w:pPr>
              <w:pStyle w:val="TEKSTwTABELIWYRODKOWANYtekstwyrodkowanywpoziomie"/>
            </w:pPr>
            <w:r w:rsidRPr="005E52C8">
              <w:t>50% wymagań z lp. 1</w:t>
            </w:r>
            <w:r w:rsidRPr="00063923">
              <w:t>–4</w:t>
            </w:r>
          </w:p>
        </w:tc>
      </w:tr>
      <w:tr w:rsidR="00063923" w:rsidRPr="00145150" w14:paraId="7CEAB507" w14:textId="77777777" w:rsidTr="00917BE3">
        <w:trPr>
          <w:trHeight w:val="167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4EA0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6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37E7" w14:textId="2AD1E196" w:rsidR="00063923" w:rsidRPr="00063923" w:rsidRDefault="00063923" w:rsidP="00063923">
            <w:r w:rsidRPr="005E52C8">
              <w:t>Przewody ogrzewa</w:t>
            </w:r>
            <w:r w:rsidRPr="00063923">
              <w:t>nia centralnego, przewody wody ciepłej i cyrkulacji instalacji ciepłej wody użytkowej wg lp. 1–4, ułożone w komponentach budowlanych między ogrzewanymi pomieszczeniami różnych użytkowników</w:t>
            </w:r>
          </w:p>
          <w:p w14:paraId="48E3626C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AA57" w14:textId="21EFFD78" w:rsidR="00063923" w:rsidRPr="00063923" w:rsidRDefault="00063923" w:rsidP="00063923">
            <w:pPr>
              <w:pStyle w:val="TEKSTwTABELIWYRODKOWANYtekstwyrodkowanywpoziomie"/>
            </w:pPr>
            <w:r w:rsidRPr="005E52C8">
              <w:t>50% wymagań z lp. 1</w:t>
            </w:r>
            <w:r w:rsidRPr="00063923">
              <w:t>–4</w:t>
            </w:r>
          </w:p>
        </w:tc>
      </w:tr>
      <w:tr w:rsidR="00063923" w:rsidRPr="00145150" w14:paraId="1341D491" w14:textId="77777777" w:rsidTr="00917BE3">
        <w:trPr>
          <w:trHeight w:val="42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BD2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7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A6CA" w14:textId="50C8087D" w:rsidR="00063923" w:rsidRPr="00063923" w:rsidRDefault="00063923" w:rsidP="00063923">
            <w:r w:rsidRPr="005E52C8">
              <w:t>Przewody wg lp. 6 ułożone w podłodze</w:t>
            </w:r>
          </w:p>
          <w:p w14:paraId="7B0070BD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0F4D" w14:textId="515E18F3" w:rsidR="00063923" w:rsidRPr="00063923" w:rsidRDefault="00063923" w:rsidP="00063923">
            <w:pPr>
              <w:pStyle w:val="TEKSTwTABELIWYRODKOWANYtekstwyrodkowanywpoziomie"/>
            </w:pPr>
            <w:r w:rsidRPr="005E52C8">
              <w:t>6 mm</w:t>
            </w:r>
          </w:p>
        </w:tc>
      </w:tr>
      <w:tr w:rsidR="00063923" w:rsidRPr="00145150" w14:paraId="607A7C1D" w14:textId="77777777" w:rsidTr="00917BE3">
        <w:trPr>
          <w:trHeight w:val="40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7F1D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8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5D77" w14:textId="24FA8AD0" w:rsidR="00063923" w:rsidRPr="00063923" w:rsidRDefault="00063923" w:rsidP="00063923">
            <w:r w:rsidRPr="005E52C8">
              <w:t>Przewody ogrzewania powietrznego (ułożone w</w:t>
            </w:r>
            <w:r w:rsidRPr="00063923">
              <w:t xml:space="preserve"> części ogrzewanej budynku) </w:t>
            </w:r>
          </w:p>
          <w:p w14:paraId="10C78795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2197" w14:textId="1CA7185B" w:rsidR="00063923" w:rsidRPr="00063923" w:rsidRDefault="00063923" w:rsidP="00063923">
            <w:pPr>
              <w:pStyle w:val="TEKSTwTABELIWYRODKOWANYtekstwyrodkowanywpoziomie"/>
            </w:pPr>
            <w:r w:rsidRPr="005E52C8">
              <w:t>40 mm</w:t>
            </w:r>
          </w:p>
        </w:tc>
      </w:tr>
      <w:tr w:rsidR="00063923" w:rsidRPr="00145150" w14:paraId="5B30E846" w14:textId="77777777" w:rsidTr="00917BE3">
        <w:trPr>
          <w:trHeight w:val="69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51B4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9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592F" w14:textId="3AAC1A84" w:rsidR="00063923" w:rsidRPr="00063923" w:rsidRDefault="00063923" w:rsidP="00063923">
            <w:r w:rsidRPr="005E52C8">
              <w:t>Przewody ogrzewania powietrznego (ułożone w</w:t>
            </w:r>
            <w:r w:rsidRPr="00063923">
              <w:t xml:space="preserve"> części nieogrzewanej budynku) </w:t>
            </w:r>
          </w:p>
          <w:p w14:paraId="28611E0B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47CA" w14:textId="2B5951E2" w:rsidR="00063923" w:rsidRPr="00063923" w:rsidRDefault="00063923" w:rsidP="00063923">
            <w:pPr>
              <w:pStyle w:val="TEKSTwTABELIWYRODKOWANYtekstwyrodkowanywpoziomie"/>
            </w:pPr>
            <w:r w:rsidRPr="005E52C8">
              <w:t>80 mm</w:t>
            </w:r>
          </w:p>
        </w:tc>
      </w:tr>
      <w:tr w:rsidR="00063923" w:rsidRPr="00145150" w14:paraId="75484618" w14:textId="77777777" w:rsidTr="00917BE3">
        <w:trPr>
          <w:trHeight w:val="70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A1BD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10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C779" w14:textId="77820255" w:rsidR="00063923" w:rsidRPr="00063923" w:rsidRDefault="00063923" w:rsidP="00063923">
            <w:r w:rsidRPr="005E52C8">
              <w:t>Przewody instalacji wody lodowej prowadzone wewnątrz budynku</w:t>
            </w:r>
            <w:r w:rsidRPr="00063923">
              <w:rPr>
                <w:rStyle w:val="IGindeksgrny"/>
              </w:rPr>
              <w:t>2)</w:t>
            </w:r>
            <w:r w:rsidRPr="00063923">
              <w:t xml:space="preserve"> </w:t>
            </w:r>
          </w:p>
          <w:p w14:paraId="38593184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7682" w14:textId="14D0DA74" w:rsidR="00063923" w:rsidRPr="00063923" w:rsidRDefault="00063923" w:rsidP="00063923">
            <w:pPr>
              <w:pStyle w:val="TEKSTwTABELIWYRODKOWANYtekstwyrodkowanywpoziomie"/>
            </w:pPr>
            <w:r w:rsidRPr="005E52C8">
              <w:t>50% wymagań z lp. 1</w:t>
            </w:r>
            <w:r w:rsidRPr="00063923">
              <w:t>–4</w:t>
            </w:r>
          </w:p>
        </w:tc>
      </w:tr>
      <w:tr w:rsidR="00063923" w:rsidRPr="00145150" w14:paraId="40FE83DF" w14:textId="77777777" w:rsidTr="00917BE3">
        <w:trPr>
          <w:trHeight w:val="69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03F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11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274" w14:textId="51A0628D" w:rsidR="00063923" w:rsidRPr="00063923" w:rsidRDefault="00063923" w:rsidP="00063923">
            <w:r w:rsidRPr="005E52C8">
              <w:t>Przewody instalacji wody lodowej prowadzone na zewnątrz budynku</w:t>
            </w:r>
            <w:r w:rsidRPr="00063923">
              <w:rPr>
                <w:rStyle w:val="IGindeksgrny"/>
              </w:rPr>
              <w:t>2)</w:t>
            </w:r>
            <w:r w:rsidRPr="00063923">
              <w:t xml:space="preserve"> </w:t>
            </w:r>
          </w:p>
          <w:p w14:paraId="31361683" w14:textId="77777777" w:rsidR="00063923" w:rsidRPr="0061657D" w:rsidRDefault="00063923" w:rsidP="00063923"/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662D" w14:textId="2484C6F1" w:rsidR="00063923" w:rsidRPr="00063923" w:rsidRDefault="00063923" w:rsidP="00063923">
            <w:pPr>
              <w:pStyle w:val="TEKSTwTABELIWYRODKOWANYtekstwyrodkowanywpoziomie"/>
            </w:pPr>
            <w:r w:rsidRPr="005E52C8">
              <w:t>100% wymagań z lp. 1</w:t>
            </w:r>
            <w:r w:rsidRPr="00063923">
              <w:t>–4</w:t>
            </w:r>
          </w:p>
        </w:tc>
      </w:tr>
      <w:tr w:rsidR="00063923" w:rsidRPr="00145150" w14:paraId="024D1DA5" w14:textId="77777777" w:rsidTr="00917BE3">
        <w:tc>
          <w:tcPr>
            <w:tcW w:w="9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8958" w14:textId="77777777" w:rsidR="00D55EFB" w:rsidRDefault="00063923" w:rsidP="00063923">
            <w:r w:rsidRPr="005E52C8">
              <w:t>Uwaga:</w:t>
            </w:r>
            <w:r w:rsidRPr="00063923">
              <w:br/>
            </w:r>
            <w:r w:rsidRPr="00063923">
              <w:rPr>
                <w:rStyle w:val="IGindeksgrny"/>
              </w:rPr>
              <w:t>1)</w:t>
            </w:r>
            <w:r w:rsidRPr="00063923">
              <w:t xml:space="preserve"> Przy zastosowaniu materiału izolacyjnego o innym współczynniku przewodzenia ciepła niż podany w tabeli – koryguje się grubość warstwy izolacyjnej.</w:t>
            </w:r>
          </w:p>
          <w:p w14:paraId="7F15CC57" w14:textId="1F0D1732" w:rsidR="00063923" w:rsidRPr="00063923" w:rsidRDefault="00063923" w:rsidP="00063923">
            <w:r w:rsidRPr="00063923">
              <w:rPr>
                <w:rStyle w:val="IGindeksgrny"/>
              </w:rPr>
              <w:t>2)</w:t>
            </w:r>
            <w:r w:rsidRPr="00063923">
              <w:t xml:space="preserve"> Izolacja cieplna wykonana jako </w:t>
            </w:r>
            <w:proofErr w:type="spellStart"/>
            <w:r w:rsidRPr="00063923">
              <w:t>powietrznoszczelna</w:t>
            </w:r>
            <w:proofErr w:type="spellEnd"/>
            <w:r w:rsidRPr="00063923">
              <w:t>.</w:t>
            </w:r>
          </w:p>
        </w:tc>
      </w:tr>
    </w:tbl>
    <w:p w14:paraId="65CCB910" w14:textId="77777777" w:rsidR="00063923" w:rsidRDefault="00063923" w:rsidP="00063923">
      <w:pPr>
        <w:rPr>
          <w:rStyle w:val="Ppogrubienie"/>
        </w:rPr>
      </w:pPr>
    </w:p>
    <w:p w14:paraId="79E47553" w14:textId="77777777" w:rsidR="00063923" w:rsidRPr="0061657D" w:rsidRDefault="00063923" w:rsidP="00063923">
      <w:pPr>
        <w:rPr>
          <w:rStyle w:val="Ppogrubienie"/>
        </w:rPr>
      </w:pPr>
      <w:r w:rsidRPr="0061657D">
        <w:rPr>
          <w:rStyle w:val="Ppogrubienie"/>
        </w:rPr>
        <w:t xml:space="preserve">2. </w:t>
      </w:r>
      <w:r>
        <w:rPr>
          <w:rStyle w:val="Ppogrubienie"/>
        </w:rPr>
        <w:tab/>
      </w:r>
      <w:r>
        <w:rPr>
          <w:rStyle w:val="Ppogrubienie"/>
        </w:rPr>
        <w:tab/>
      </w:r>
      <w:r w:rsidRPr="0061657D">
        <w:rPr>
          <w:rStyle w:val="Ppogrubienie"/>
        </w:rPr>
        <w:t xml:space="preserve">Inne </w:t>
      </w:r>
      <w:r>
        <w:rPr>
          <w:rStyle w:val="Ppogrubienie"/>
        </w:rPr>
        <w:t>wymagania</w:t>
      </w:r>
      <w:r w:rsidRPr="0061657D">
        <w:rPr>
          <w:rStyle w:val="Ppogrubienie"/>
        </w:rPr>
        <w:t xml:space="preserve"> związane z oszczędnością energii</w:t>
      </w:r>
    </w:p>
    <w:p w14:paraId="4C75DB2D" w14:textId="77777777" w:rsidR="00063923" w:rsidRPr="00F30CB6" w:rsidRDefault="00063923" w:rsidP="00063923">
      <w:pPr>
        <w:pStyle w:val="USTustnpkodeksu"/>
        <w:rPr>
          <w:rStyle w:val="Ppogrubienie"/>
        </w:rPr>
      </w:pPr>
      <w:r w:rsidRPr="00D2231C">
        <w:t>2.1.</w:t>
      </w:r>
      <w:r w:rsidRPr="00D2231C">
        <w:tab/>
        <w:t>Okn</w:t>
      </w:r>
      <w:r>
        <w:t>o</w:t>
      </w:r>
    </w:p>
    <w:p w14:paraId="60662816" w14:textId="77777777" w:rsidR="00063923" w:rsidRPr="00D2231C" w:rsidRDefault="00063923" w:rsidP="00C864A9">
      <w:pPr>
        <w:pStyle w:val="LITlitera"/>
      </w:pPr>
      <w:r w:rsidRPr="00D2231C">
        <w:t>2.1.1.</w:t>
      </w:r>
      <w:r w:rsidRPr="00D2231C">
        <w:tab/>
        <w:t xml:space="preserve">We wszystkich rodzajach budynków </w:t>
      </w:r>
      <w:bookmarkStart w:id="3" w:name="_Hlk194406991"/>
      <w:r w:rsidRPr="00D2231C">
        <w:t>współczynnik przepuszczalności energii całkowitej promieniowania słonecznego ok</w:t>
      </w:r>
      <w:r>
        <w:t>na</w:t>
      </w:r>
      <w:r w:rsidRPr="00D2231C">
        <w:t xml:space="preserve"> oraz przegr</w:t>
      </w:r>
      <w:r>
        <w:t>ody</w:t>
      </w:r>
      <w:r w:rsidRPr="00D2231C">
        <w:t xml:space="preserve"> szklan</w:t>
      </w:r>
      <w:r>
        <w:t>ej</w:t>
      </w:r>
      <w:r w:rsidRPr="00D2231C">
        <w:t xml:space="preserve"> i</w:t>
      </w:r>
      <w:r>
        <w:t> </w:t>
      </w:r>
      <w:r w:rsidRPr="00D2231C">
        <w:t>przezroczyst</w:t>
      </w:r>
      <w:r>
        <w:t>ej</w:t>
      </w:r>
      <w:bookmarkEnd w:id="3"/>
      <w:r w:rsidRPr="00D2231C">
        <w:t xml:space="preserve"> g liczony według wzoru:</w:t>
      </w:r>
    </w:p>
    <w:p w14:paraId="4A1CAC8F" w14:textId="77777777" w:rsidR="00063923" w:rsidRPr="00D2231C" w:rsidRDefault="00063923" w:rsidP="00C864A9">
      <w:pPr>
        <w:pStyle w:val="WMATFIZCHEMwzrmatfizlubchem"/>
      </w:pPr>
      <w:r w:rsidRPr="00D2231C">
        <w:t xml:space="preserve">g = </w:t>
      </w:r>
      <w:proofErr w:type="spellStart"/>
      <w:r w:rsidRPr="00D2231C">
        <w:t>f</w:t>
      </w:r>
      <w:r w:rsidRPr="0061657D">
        <w:rPr>
          <w:rStyle w:val="IDindeksdolny"/>
        </w:rPr>
        <w:t>C</w:t>
      </w:r>
      <w:proofErr w:type="spellEnd"/>
      <w:r w:rsidRPr="00D2231C">
        <w:t xml:space="preserve"> · </w:t>
      </w:r>
      <w:proofErr w:type="spellStart"/>
      <w:r w:rsidRPr="00D2231C">
        <w:t>g</w:t>
      </w:r>
      <w:r w:rsidRPr="0061657D">
        <w:rPr>
          <w:rStyle w:val="IDindeksdolny"/>
        </w:rPr>
        <w:t>n</w:t>
      </w:r>
      <w:proofErr w:type="spellEnd"/>
    </w:p>
    <w:p w14:paraId="4914B840" w14:textId="77777777" w:rsidR="00063923" w:rsidRPr="00D2231C" w:rsidRDefault="00063923" w:rsidP="00C864A9">
      <w:pPr>
        <w:pStyle w:val="LEGWMATFIZCHEMlegendawzorumatfizlubchem"/>
      </w:pPr>
      <w:r w:rsidRPr="00D2231C">
        <w:t>gdzie:</w:t>
      </w:r>
    </w:p>
    <w:p w14:paraId="3AED41F9" w14:textId="2BD3C055" w:rsidR="00063923" w:rsidRPr="00D2231C" w:rsidRDefault="00063923" w:rsidP="00C864A9">
      <w:pPr>
        <w:pStyle w:val="LEGWMATFIZCHEMlegendawzorumatfizlubchem"/>
      </w:pPr>
      <w:proofErr w:type="spellStart"/>
      <w:r w:rsidRPr="00D2231C">
        <w:t>g</w:t>
      </w:r>
      <w:r w:rsidRPr="0061657D">
        <w:rPr>
          <w:rStyle w:val="IDindeksdolny"/>
        </w:rPr>
        <w:t>n</w:t>
      </w:r>
      <w:proofErr w:type="spellEnd"/>
      <w:r w:rsidRPr="00D2231C">
        <w:t xml:space="preserve"> – współczynnik całkowitej przepuszczalności energii promieniowania słonecznego dla typu oszklenia,</w:t>
      </w:r>
    </w:p>
    <w:p w14:paraId="3B08B550" w14:textId="77777777" w:rsidR="00063923" w:rsidRDefault="00063923" w:rsidP="00C864A9">
      <w:pPr>
        <w:pStyle w:val="LEGWMATFIZCHEMlegendawzorumatfizlubchem"/>
      </w:pPr>
      <w:proofErr w:type="spellStart"/>
      <w:r w:rsidRPr="00D2231C">
        <w:lastRenderedPageBreak/>
        <w:t>f</w:t>
      </w:r>
      <w:r w:rsidRPr="0061657D">
        <w:rPr>
          <w:rStyle w:val="IDindeksdolny"/>
        </w:rPr>
        <w:t>C</w:t>
      </w:r>
      <w:proofErr w:type="spellEnd"/>
      <w:r w:rsidRPr="00D2231C">
        <w:t xml:space="preserve"> – współczynnik redukcji promieniowania ze względu na zastosowane urządzenia przeciwsłoneczne, </w:t>
      </w:r>
    </w:p>
    <w:p w14:paraId="58209F51" w14:textId="77777777" w:rsidR="00063923" w:rsidRPr="00D2231C" w:rsidRDefault="00063923" w:rsidP="00C864A9">
      <w:pPr>
        <w:pStyle w:val="LITlitera"/>
      </w:pPr>
      <w:r w:rsidRPr="00D2231C">
        <w:t>w okresie letnim nie może być większy niż 0,35.</w:t>
      </w:r>
    </w:p>
    <w:p w14:paraId="768CDDC9" w14:textId="77777777" w:rsidR="00063923" w:rsidRDefault="00063923" w:rsidP="00C864A9">
      <w:pPr>
        <w:pStyle w:val="LITlitera"/>
      </w:pPr>
      <w:r w:rsidRPr="00D2231C">
        <w:t>2.1.2.</w:t>
      </w:r>
      <w:r w:rsidRPr="00D2231C">
        <w:tab/>
        <w:t xml:space="preserve">Wartości współczynnika całkowitej przepuszczalności energii promieniowania słonecznego dla typu oszklenia </w:t>
      </w:r>
      <w:proofErr w:type="spellStart"/>
      <w:r w:rsidRPr="00D2231C">
        <w:t>g</w:t>
      </w:r>
      <w:r w:rsidRPr="0061657D">
        <w:rPr>
          <w:rStyle w:val="IDindeksdolny"/>
        </w:rPr>
        <w:t>n</w:t>
      </w:r>
      <w:proofErr w:type="spellEnd"/>
      <w:r w:rsidRPr="00D2231C">
        <w:t xml:space="preserve"> </w:t>
      </w:r>
      <w:r>
        <w:t xml:space="preserve">przyjmuje się </w:t>
      </w:r>
      <w:r w:rsidRPr="00D2231C">
        <w:t xml:space="preserve">na podstawie deklaracji właściwości użytkowych okna. W przypadku braku danych wartość </w:t>
      </w:r>
      <w:proofErr w:type="spellStart"/>
      <w:r w:rsidRPr="00D2231C">
        <w:t>g</w:t>
      </w:r>
      <w:r w:rsidRPr="004F2560">
        <w:rPr>
          <w:rStyle w:val="IDindeksdolny"/>
        </w:rPr>
        <w:t>n</w:t>
      </w:r>
      <w:proofErr w:type="spellEnd"/>
      <w:r w:rsidRPr="00D2231C">
        <w:t xml:space="preserve"> określa poniższa tabela:</w:t>
      </w:r>
    </w:p>
    <w:p w14:paraId="15254F6C" w14:textId="77777777" w:rsidR="00063923" w:rsidRPr="00D2231C" w:rsidRDefault="00063923" w:rsidP="00063923">
      <w:pPr>
        <w:pStyle w:val="PKTpunk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4388"/>
        <w:gridCol w:w="4137"/>
      </w:tblGrid>
      <w:tr w:rsidR="00063923" w:rsidRPr="00145150" w14:paraId="5166BB89" w14:textId="77777777" w:rsidTr="00917BE3">
        <w:trPr>
          <w:trHeight w:val="114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AF2F" w14:textId="77777777" w:rsidR="00063923" w:rsidRDefault="00063923" w:rsidP="00063923">
            <w:pPr>
              <w:pStyle w:val="TEKSTwTABELIWYRODKOWANYtekstwyrodkowanywpoziomie"/>
            </w:pPr>
          </w:p>
          <w:p w14:paraId="58A18CD1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Lp.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1999" w14:textId="77777777" w:rsidR="00063923" w:rsidRDefault="00063923" w:rsidP="00063923">
            <w:pPr>
              <w:pStyle w:val="TEKSTwTABELIWYRODKOWANYtekstwyrodkowanywpoziomie"/>
            </w:pPr>
          </w:p>
          <w:p w14:paraId="5A76DD18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Typ oszklenia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CBBF" w14:textId="77777777" w:rsidR="00063923" w:rsidRPr="00063923" w:rsidRDefault="00063923" w:rsidP="00063923">
            <w:pPr>
              <w:pStyle w:val="TEKSTwTABELIWYRODKOWANYtekstwyrodkowanywpoziomie"/>
              <w:rPr>
                <w:rStyle w:val="IDindeksdolny"/>
              </w:rPr>
            </w:pPr>
            <w:r w:rsidRPr="005E52C8">
              <w:t xml:space="preserve"> Współczynnik całkowitej przepuszczalności energii promieniowania słonecznego </w:t>
            </w:r>
            <w:proofErr w:type="spellStart"/>
            <w:r w:rsidRPr="005E52C8">
              <w:t>g</w:t>
            </w:r>
            <w:r w:rsidRPr="00063923">
              <w:rPr>
                <w:rStyle w:val="IDindeksdolny"/>
              </w:rPr>
              <w:t>n</w:t>
            </w:r>
            <w:proofErr w:type="spellEnd"/>
          </w:p>
          <w:p w14:paraId="0EF112B1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1BDD0292" w14:textId="77777777" w:rsidTr="00917BE3">
        <w:trPr>
          <w:trHeight w:val="41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4930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AF2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2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1041" w14:textId="03E25C8C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  <w:p w14:paraId="19458A72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4E937084" w14:textId="77777777" w:rsidTr="00917BE3">
        <w:trPr>
          <w:trHeight w:val="41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55A3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0357" w14:textId="63243F87" w:rsidR="00063923" w:rsidRPr="00063923" w:rsidRDefault="00063923" w:rsidP="00063923">
            <w:r w:rsidRPr="005E52C8">
              <w:t>Pojedynczo szklone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F220" w14:textId="1E0527D3" w:rsidR="00063923" w:rsidRPr="00063923" w:rsidRDefault="00063923" w:rsidP="00063923">
            <w:pPr>
              <w:pStyle w:val="TEKSTwTABELIWYRODKOWANYtekstwyrodkowanywpoziomie"/>
            </w:pPr>
            <w:r w:rsidRPr="005E52C8">
              <w:t>0,85</w:t>
            </w:r>
          </w:p>
          <w:p w14:paraId="1F3BA772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3FACC2A" w14:textId="77777777" w:rsidTr="00917BE3">
        <w:trPr>
          <w:trHeight w:val="39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6953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41CF" w14:textId="00A61482" w:rsidR="00063923" w:rsidRPr="00063923" w:rsidRDefault="00063923" w:rsidP="00063923">
            <w:r w:rsidRPr="005E52C8">
              <w:t>Podwójnie szklone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85EE" w14:textId="46D58FA3" w:rsidR="00063923" w:rsidRPr="00063923" w:rsidRDefault="00063923" w:rsidP="00063923">
            <w:pPr>
              <w:pStyle w:val="TEKSTwTABELIWYRODKOWANYtekstwyrodkowanywpoziomie"/>
            </w:pPr>
            <w:r w:rsidRPr="005E52C8">
              <w:t>0,75</w:t>
            </w:r>
          </w:p>
          <w:p w14:paraId="3E90CC4F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708D5A3A" w14:textId="77777777" w:rsidTr="00917BE3">
        <w:trPr>
          <w:trHeight w:val="40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3C73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F5C6" w14:textId="7E6D795E" w:rsidR="00063923" w:rsidRPr="00063923" w:rsidRDefault="00063923" w:rsidP="00063923">
            <w:r w:rsidRPr="005E52C8">
              <w:t>Podwójnie szklone z powłoką selektywną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7948" w14:textId="09F42CB8" w:rsidR="00063923" w:rsidRPr="00063923" w:rsidRDefault="00063923" w:rsidP="00063923">
            <w:pPr>
              <w:pStyle w:val="TEKSTwTABELIWYRODKOWANYtekstwyrodkowanywpoziomie"/>
            </w:pPr>
            <w:r w:rsidRPr="005E52C8">
              <w:t>0,67</w:t>
            </w:r>
          </w:p>
          <w:p w14:paraId="3D7C9C84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20DDDA4D" w14:textId="77777777" w:rsidTr="00917BE3">
        <w:trPr>
          <w:trHeight w:val="40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60F2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4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2A1D" w14:textId="48D6098E" w:rsidR="00063923" w:rsidRPr="00063923" w:rsidRDefault="00063923" w:rsidP="00063923">
            <w:r w:rsidRPr="005E52C8">
              <w:t>Potrójnie szklone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5A4D" w14:textId="59ADBBCF" w:rsidR="00063923" w:rsidRPr="00063923" w:rsidRDefault="00063923" w:rsidP="00063923">
            <w:pPr>
              <w:pStyle w:val="TEKSTwTABELIWYRODKOWANYtekstwyrodkowanywpoziomie"/>
            </w:pPr>
            <w:r w:rsidRPr="005E52C8">
              <w:t>0,7</w:t>
            </w:r>
          </w:p>
          <w:p w14:paraId="512C058D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1999B1EF" w14:textId="77777777" w:rsidTr="00917BE3">
        <w:trPr>
          <w:trHeight w:val="40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7AE9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5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2CA9" w14:textId="56395C15" w:rsidR="00063923" w:rsidRPr="00063923" w:rsidRDefault="00063923" w:rsidP="00063923">
            <w:r w:rsidRPr="005E52C8">
              <w:t>Potrójnie szklone z powłoką selektywną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E84" w14:textId="790ACAF7" w:rsidR="00063923" w:rsidRPr="00063923" w:rsidRDefault="00063923" w:rsidP="00063923">
            <w:pPr>
              <w:pStyle w:val="TEKSTwTABELIWYRODKOWANYtekstwyrodkowanywpoziomie"/>
            </w:pPr>
            <w:r w:rsidRPr="005E52C8">
              <w:t>0,5</w:t>
            </w:r>
          </w:p>
          <w:p w14:paraId="27E50FBE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  <w:tr w:rsidR="00063923" w:rsidRPr="00145150" w14:paraId="5CFAE990" w14:textId="77777777" w:rsidTr="00917BE3">
        <w:trPr>
          <w:trHeight w:val="41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E35C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6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097A" w14:textId="718E871D" w:rsidR="00063923" w:rsidRPr="00063923" w:rsidRDefault="00063923" w:rsidP="00063923">
            <w:r w:rsidRPr="005E52C8">
              <w:t>Okna podwójne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6AFA" w14:textId="2E194C9C" w:rsidR="00063923" w:rsidRPr="00063923" w:rsidRDefault="00063923" w:rsidP="00063923">
            <w:pPr>
              <w:pStyle w:val="TEKSTwTABELIWYRODKOWANYtekstwyrodkowanywpoziomie"/>
            </w:pPr>
            <w:r w:rsidRPr="005E52C8">
              <w:t>0,75</w:t>
            </w:r>
          </w:p>
          <w:p w14:paraId="647AFAF8" w14:textId="77777777" w:rsidR="00063923" w:rsidRPr="0061657D" w:rsidRDefault="00063923" w:rsidP="00063923">
            <w:pPr>
              <w:pStyle w:val="TEKSTwTABELIWYRODKOWANYtekstwyrodkowanywpoziomie"/>
            </w:pPr>
          </w:p>
        </w:tc>
      </w:tr>
    </w:tbl>
    <w:p w14:paraId="20DF219D" w14:textId="77777777" w:rsidR="00063923" w:rsidRPr="00D2231C" w:rsidRDefault="00063923" w:rsidP="00C864A9">
      <w:pPr>
        <w:pStyle w:val="USTustnpkodeksu"/>
      </w:pPr>
    </w:p>
    <w:p w14:paraId="33B2C48D" w14:textId="7CE5180F" w:rsidR="0009224A" w:rsidRDefault="00063923" w:rsidP="00C864A9">
      <w:pPr>
        <w:pStyle w:val="USTustnpkodeksu"/>
        <w:ind w:firstLine="0"/>
      </w:pPr>
      <w:r w:rsidRPr="0009224A">
        <w:t>2.1.3.</w:t>
      </w:r>
      <w:r w:rsidRPr="0009224A">
        <w:tab/>
        <w:t xml:space="preserve">Wartości współczynnika redukcji promieniowania ze względu na </w:t>
      </w:r>
      <w:proofErr w:type="spellStart"/>
      <w:r w:rsidRPr="0009224A">
        <w:t>zastosowaneurządzenia</w:t>
      </w:r>
      <w:proofErr w:type="spellEnd"/>
      <w:r w:rsidRPr="0009224A">
        <w:t xml:space="preserve"> przeciwsłoneczne </w:t>
      </w:r>
      <w:proofErr w:type="spellStart"/>
      <w:r w:rsidRPr="0009224A">
        <w:t>f</w:t>
      </w:r>
      <w:r w:rsidR="0009224A">
        <w:t>c</w:t>
      </w:r>
      <w:proofErr w:type="spellEnd"/>
      <w:r w:rsidR="0009224A">
        <w:t xml:space="preserve"> </w:t>
      </w:r>
      <w:r w:rsidRPr="0009224A">
        <w:t>określa poniższa tabela</w:t>
      </w:r>
      <w:r w:rsidRPr="005C5134">
        <w:t>: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1496"/>
        <w:gridCol w:w="1481"/>
        <w:gridCol w:w="1354"/>
        <w:gridCol w:w="1369"/>
      </w:tblGrid>
      <w:tr w:rsidR="00063923" w:rsidRPr="00145150" w14:paraId="2F2A0744" w14:textId="77777777" w:rsidTr="00917BE3">
        <w:trPr>
          <w:trHeight w:val="82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C8A7F" w14:textId="77777777" w:rsidR="00063923" w:rsidRDefault="00063923" w:rsidP="00063923"/>
          <w:p w14:paraId="56CA00C1" w14:textId="77777777" w:rsidR="00063923" w:rsidRDefault="00063923" w:rsidP="00063923"/>
          <w:p w14:paraId="1E8BC50E" w14:textId="77777777" w:rsidR="00063923" w:rsidRPr="00063923" w:rsidRDefault="00063923" w:rsidP="00063923">
            <w:r w:rsidRPr="005E52C8">
              <w:t>Lp.</w:t>
            </w:r>
          </w:p>
          <w:p w14:paraId="731374DD" w14:textId="77777777" w:rsidR="00063923" w:rsidRPr="005E52C8" w:rsidRDefault="00063923" w:rsidP="00063923"/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726C3" w14:textId="77777777" w:rsidR="00063923" w:rsidRPr="00063923" w:rsidRDefault="00063923" w:rsidP="00063923">
            <w:r>
              <w:t xml:space="preserve"> </w:t>
            </w:r>
          </w:p>
          <w:p w14:paraId="1216F703" w14:textId="77777777" w:rsidR="00063923" w:rsidRDefault="00063923" w:rsidP="00063923"/>
          <w:p w14:paraId="160EDE59" w14:textId="77777777" w:rsidR="00063923" w:rsidRPr="00063923" w:rsidRDefault="00063923" w:rsidP="00063923">
            <w:r>
              <w:t>Typ zasłon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AEE8" w14:textId="77777777" w:rsidR="00063923" w:rsidRPr="00063923" w:rsidRDefault="00063923" w:rsidP="00063923">
            <w:r w:rsidRPr="005E52C8">
              <w:t xml:space="preserve"> </w:t>
            </w:r>
          </w:p>
          <w:p w14:paraId="3E66EB6C" w14:textId="77777777" w:rsidR="00063923" w:rsidRPr="00063923" w:rsidRDefault="00063923" w:rsidP="00063923">
            <w:r w:rsidRPr="0061657D">
              <w:t xml:space="preserve">Właściwości </w:t>
            </w:r>
            <w:r w:rsidRPr="00063923">
              <w:t>optyczne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72B7" w14:textId="77777777" w:rsidR="00063923" w:rsidRPr="00063923" w:rsidRDefault="00063923" w:rsidP="00063923">
            <w:pPr>
              <w:rPr>
                <w:rStyle w:val="IDindeksdolny"/>
              </w:rPr>
            </w:pPr>
            <w:r w:rsidRPr="005E52C8">
              <w:t xml:space="preserve"> Współczynnik redukcji promieniowania </w:t>
            </w:r>
            <w:proofErr w:type="spellStart"/>
            <w:r w:rsidRPr="005E52C8">
              <w:t>f</w:t>
            </w:r>
            <w:r w:rsidRPr="00063923">
              <w:rPr>
                <w:rStyle w:val="IDindeksdolny"/>
              </w:rPr>
              <w:t>C</w:t>
            </w:r>
            <w:proofErr w:type="spellEnd"/>
          </w:p>
          <w:p w14:paraId="14D7A036" w14:textId="77777777" w:rsidR="00063923" w:rsidRPr="0061657D" w:rsidRDefault="00063923" w:rsidP="00063923"/>
        </w:tc>
      </w:tr>
      <w:tr w:rsidR="00063923" w:rsidRPr="00145150" w14:paraId="5FAA4615" w14:textId="77777777" w:rsidTr="00917BE3">
        <w:trPr>
          <w:trHeight w:val="1403"/>
        </w:trPr>
        <w:tc>
          <w:tcPr>
            <w:tcW w:w="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6598C3" w14:textId="77777777" w:rsidR="00063923" w:rsidRPr="005E52C8" w:rsidRDefault="00063923" w:rsidP="00063923"/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6A2619C" w14:textId="77777777" w:rsidR="00063923" w:rsidRPr="005E52C8" w:rsidRDefault="00063923" w:rsidP="00063923"/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5F62" w14:textId="77777777" w:rsidR="00063923" w:rsidRPr="00063923" w:rsidRDefault="00063923" w:rsidP="00063923">
            <w:r w:rsidRPr="005E52C8">
              <w:t xml:space="preserve"> współczynnik absorpcji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17E7" w14:textId="77777777" w:rsidR="00063923" w:rsidRPr="00063923" w:rsidRDefault="00063923" w:rsidP="00063923">
            <w:r w:rsidRPr="005E52C8">
              <w:t xml:space="preserve"> współczynnik przepuszczalności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E8EF" w14:textId="77777777" w:rsidR="00063923" w:rsidRPr="00063923" w:rsidRDefault="00063923" w:rsidP="00063923">
            <w:r w:rsidRPr="005E52C8">
              <w:t xml:space="preserve"> osłona wewnętrzna</w:t>
            </w:r>
          </w:p>
          <w:p w14:paraId="632D07DE" w14:textId="77777777" w:rsidR="00063923" w:rsidRPr="005E52C8" w:rsidRDefault="00063923" w:rsidP="00063923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0FB" w14:textId="77777777" w:rsidR="00063923" w:rsidRPr="00063923" w:rsidRDefault="00063923" w:rsidP="00063923">
            <w:r w:rsidRPr="005E52C8">
              <w:t xml:space="preserve"> osłona zewnętrzna</w:t>
            </w:r>
          </w:p>
          <w:p w14:paraId="29F96527" w14:textId="77777777" w:rsidR="00063923" w:rsidRPr="005E52C8" w:rsidRDefault="00063923" w:rsidP="00063923"/>
        </w:tc>
      </w:tr>
      <w:tr w:rsidR="00063923" w:rsidRPr="00145150" w14:paraId="6CD52E40" w14:textId="77777777" w:rsidTr="00917BE3">
        <w:trPr>
          <w:trHeight w:val="5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8752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19A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CC60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4E6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33F9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97D2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 xml:space="preserve"> 6</w:t>
            </w:r>
          </w:p>
        </w:tc>
      </w:tr>
      <w:tr w:rsidR="00063923" w:rsidRPr="00145150" w14:paraId="5A84F835" w14:textId="77777777" w:rsidTr="00917BE3">
        <w:trPr>
          <w:trHeight w:val="11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5C3AB8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58D37" w14:textId="1B9CBF49" w:rsidR="00063923" w:rsidRPr="00063923" w:rsidRDefault="00063923" w:rsidP="00063923">
            <w:r w:rsidRPr="00063923">
              <w:t>Biała żaluzja o lamelach nastawnych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77827" w14:textId="18C95843" w:rsidR="00063923" w:rsidRPr="00063923" w:rsidRDefault="00063923" w:rsidP="00063923">
            <w:pPr>
              <w:pStyle w:val="TEKSTwTABELIWYRODKOWANYtekstwyrodkowanywpoziomie"/>
            </w:pPr>
            <w:r w:rsidRPr="005E52C8">
              <w:t>0,1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97610" w14:textId="10BBCF5C" w:rsidR="00063923" w:rsidRPr="00063923" w:rsidRDefault="00063923" w:rsidP="00063923">
            <w:pPr>
              <w:pStyle w:val="TEKSTwTABELIWYRODKOWANYtekstwyrodkowanywpoziomie"/>
            </w:pPr>
            <w:r w:rsidRPr="005E52C8">
              <w:t>0,05</w:t>
            </w:r>
          </w:p>
          <w:p w14:paraId="7A93346D" w14:textId="77777777" w:rsidR="00063923" w:rsidRPr="00063923" w:rsidRDefault="00063923" w:rsidP="00063923">
            <w:pPr>
              <w:pStyle w:val="TEKSTwTABELIWYRODKOWANYtekstwyrodkowanywpoziomie"/>
            </w:pPr>
            <w:r>
              <w:t>0,1</w:t>
            </w:r>
          </w:p>
          <w:p w14:paraId="7C4F3A05" w14:textId="77777777" w:rsidR="00063923" w:rsidRPr="00063923" w:rsidRDefault="00063923" w:rsidP="00063923">
            <w:pPr>
              <w:pStyle w:val="TEKSTwTABELIWYRODKOWANYtekstwyrodkowanywpoziomie"/>
            </w:pPr>
            <w:r>
              <w:t>0,3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1DEE9" w14:textId="115F87CF" w:rsidR="00063923" w:rsidRPr="00063923" w:rsidRDefault="00063923" w:rsidP="00063923">
            <w:pPr>
              <w:pStyle w:val="TEKSTwTABELIWYRODKOWANYtekstwyrodkowanywpoziomie"/>
            </w:pPr>
            <w:r w:rsidRPr="005E52C8">
              <w:t>0,25</w:t>
            </w:r>
          </w:p>
          <w:p w14:paraId="59814551" w14:textId="77777777" w:rsidR="00063923" w:rsidRPr="00063923" w:rsidRDefault="00063923" w:rsidP="00063923">
            <w:pPr>
              <w:pStyle w:val="TEKSTwTABELIWYRODKOWANYtekstwyrodkowanywpoziomie"/>
            </w:pPr>
            <w:r>
              <w:t>0,30</w:t>
            </w:r>
          </w:p>
          <w:p w14:paraId="4F4D28DD" w14:textId="77777777" w:rsidR="00063923" w:rsidRPr="00063923" w:rsidRDefault="00063923" w:rsidP="00063923">
            <w:pPr>
              <w:pStyle w:val="TEKSTwTABELIWYRODKOWANYtekstwyrodkowanywpoziomie"/>
            </w:pPr>
            <w:r>
              <w:t>0,45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58A76" w14:textId="18E9CA32" w:rsidR="00063923" w:rsidRPr="00063923" w:rsidRDefault="00063923" w:rsidP="00063923">
            <w:pPr>
              <w:pStyle w:val="TEKSTwTABELIWYRODKOWANYtekstwyrodkowanywpoziomie"/>
            </w:pPr>
            <w:r w:rsidRPr="005E52C8">
              <w:t>0,10</w:t>
            </w:r>
          </w:p>
          <w:p w14:paraId="613DCB73" w14:textId="77777777" w:rsidR="00063923" w:rsidRPr="00063923" w:rsidRDefault="00063923" w:rsidP="00063923">
            <w:pPr>
              <w:pStyle w:val="TEKSTwTABELIWYRODKOWANYtekstwyrodkowanywpoziomie"/>
            </w:pPr>
            <w:r>
              <w:t>0,15</w:t>
            </w:r>
          </w:p>
          <w:p w14:paraId="1AB2DAEA" w14:textId="77777777" w:rsidR="00063923" w:rsidRPr="00063923" w:rsidRDefault="00063923" w:rsidP="00063923">
            <w:pPr>
              <w:pStyle w:val="TEKSTwTABELIWYRODKOWANYtekstwyrodkowanywpoziomie"/>
            </w:pPr>
            <w:r>
              <w:t>0,35</w:t>
            </w:r>
          </w:p>
        </w:tc>
      </w:tr>
      <w:tr w:rsidR="00063923" w:rsidRPr="00145150" w14:paraId="6B0EC2D8" w14:textId="77777777" w:rsidTr="00917BE3">
        <w:trPr>
          <w:trHeight w:val="11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32E1BF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2</w:t>
            </w:r>
          </w:p>
          <w:p w14:paraId="4D0B23B8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6620B0" w14:textId="6763195A" w:rsidR="00063923" w:rsidRPr="00063923" w:rsidRDefault="00063923" w:rsidP="00063923">
            <w:r w:rsidRPr="00063923">
              <w:t>Zasłona biała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0C76B" w14:textId="7F4BBB48" w:rsidR="00063923" w:rsidRPr="00063923" w:rsidRDefault="00063923" w:rsidP="00063923">
            <w:pPr>
              <w:pStyle w:val="TEKSTwTABELIWYRODKOWANYtekstwyrodkowanywpoziomie"/>
            </w:pPr>
            <w:r w:rsidRPr="005E52C8">
              <w:t>0,1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F38A6" w14:textId="100EA928" w:rsidR="00063923" w:rsidRPr="00063923" w:rsidRDefault="00063923" w:rsidP="00063923">
            <w:pPr>
              <w:pStyle w:val="TEKSTwTABELIWYRODKOWANYtekstwyrodkowanywpoziomie"/>
            </w:pPr>
            <w:r w:rsidRPr="005E52C8">
              <w:t>0,5</w:t>
            </w:r>
          </w:p>
          <w:p w14:paraId="785D1DE8" w14:textId="77777777" w:rsidR="00063923" w:rsidRPr="00063923" w:rsidRDefault="00063923" w:rsidP="00063923">
            <w:pPr>
              <w:pStyle w:val="TEKSTwTABELIWYRODKOWANYtekstwyrodkowanywpoziomie"/>
            </w:pPr>
            <w:r>
              <w:t>0,7</w:t>
            </w:r>
          </w:p>
          <w:p w14:paraId="275132D0" w14:textId="77777777" w:rsidR="00063923" w:rsidRPr="00063923" w:rsidRDefault="00063923" w:rsidP="00063923">
            <w:pPr>
              <w:pStyle w:val="TEKSTwTABELIWYRODKOWANYtekstwyrodkowanywpoziomie"/>
            </w:pPr>
            <w:r>
              <w:t>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170DD5" w14:textId="04822F5C" w:rsidR="00063923" w:rsidRPr="00063923" w:rsidRDefault="00063923" w:rsidP="00063923">
            <w:pPr>
              <w:pStyle w:val="TEKSTwTABELIWYRODKOWANYtekstwyrodkowanywpoziomie"/>
            </w:pPr>
            <w:r w:rsidRPr="005E52C8">
              <w:t>0,65</w:t>
            </w:r>
          </w:p>
          <w:p w14:paraId="1C7A8E08" w14:textId="77777777" w:rsidR="00063923" w:rsidRPr="00063923" w:rsidRDefault="00063923" w:rsidP="00063923">
            <w:pPr>
              <w:pStyle w:val="TEKSTwTABELIWYRODKOWANYtekstwyrodkowanywpoziomie"/>
            </w:pPr>
            <w:r>
              <w:t>0,80</w:t>
            </w:r>
          </w:p>
          <w:p w14:paraId="24A780E1" w14:textId="77777777" w:rsidR="00063923" w:rsidRPr="00063923" w:rsidRDefault="00063923" w:rsidP="00063923">
            <w:pPr>
              <w:pStyle w:val="TEKSTwTABELIWYRODKOWANYtekstwyrodkowanywpoziomie"/>
            </w:pPr>
            <w:r>
              <w:t>0,95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080583" w14:textId="5BFEAA44" w:rsidR="00063923" w:rsidRPr="00063923" w:rsidRDefault="00063923" w:rsidP="00063923">
            <w:pPr>
              <w:pStyle w:val="TEKSTwTABELIWYRODKOWANYtekstwyrodkowanywpoziomie"/>
            </w:pPr>
            <w:r w:rsidRPr="005E52C8">
              <w:t>0,55</w:t>
            </w:r>
          </w:p>
          <w:p w14:paraId="53C86142" w14:textId="77777777" w:rsidR="00063923" w:rsidRPr="00063923" w:rsidRDefault="00063923" w:rsidP="00063923">
            <w:pPr>
              <w:pStyle w:val="TEKSTwTABELIWYRODKOWANYtekstwyrodkowanywpoziomie"/>
            </w:pPr>
            <w:r>
              <w:t>0,75</w:t>
            </w:r>
          </w:p>
          <w:p w14:paraId="494805AE" w14:textId="77777777" w:rsidR="00063923" w:rsidRPr="00063923" w:rsidRDefault="00063923" w:rsidP="00063923">
            <w:pPr>
              <w:pStyle w:val="TEKSTwTABELIWYRODKOWANYtekstwyrodkowanywpoziomie"/>
            </w:pPr>
            <w:r>
              <w:t>0,95</w:t>
            </w:r>
          </w:p>
        </w:tc>
      </w:tr>
      <w:tr w:rsidR="00063923" w:rsidRPr="00145150" w14:paraId="7B2736F5" w14:textId="77777777" w:rsidTr="00917BE3">
        <w:trPr>
          <w:trHeight w:val="11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5C21E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3</w:t>
            </w:r>
          </w:p>
          <w:p w14:paraId="6504D73B" w14:textId="77777777" w:rsidR="00063923" w:rsidRPr="005E52C8" w:rsidRDefault="00063923" w:rsidP="00063923">
            <w:pPr>
              <w:pStyle w:val="TEKSTwTABELIWYRODKOWANYtekstwyrodkowanywpoziomi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C1E694" w14:textId="5FD0769F" w:rsidR="00063923" w:rsidRPr="00063923" w:rsidRDefault="00063923" w:rsidP="00063923">
            <w:r w:rsidRPr="00063923">
              <w:t>Zasłona kolorowa</w:t>
            </w:r>
          </w:p>
          <w:p w14:paraId="7AB75DB4" w14:textId="77777777" w:rsidR="00063923" w:rsidRPr="005E52C8" w:rsidRDefault="00063923" w:rsidP="00063923"/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92CD75" w14:textId="5B84CD10" w:rsidR="00063923" w:rsidRPr="00063923" w:rsidRDefault="00063923" w:rsidP="00063923">
            <w:pPr>
              <w:pStyle w:val="TEKSTwTABELIWYRODKOWANYtekstwyrodkowanywpoziomie"/>
            </w:pPr>
            <w:r w:rsidRPr="005E52C8">
              <w:t>0,3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E0E024" w14:textId="1D7C27DE" w:rsidR="00063923" w:rsidRPr="00063923" w:rsidRDefault="00063923" w:rsidP="00063923">
            <w:pPr>
              <w:pStyle w:val="TEKSTwTABELIWYRODKOWANYtekstwyrodkowanywpoziomie"/>
            </w:pPr>
            <w:r w:rsidRPr="005E52C8">
              <w:t>0,1</w:t>
            </w:r>
          </w:p>
          <w:p w14:paraId="1F03885E" w14:textId="77777777" w:rsidR="00063923" w:rsidRPr="00063923" w:rsidRDefault="00063923" w:rsidP="00063923">
            <w:pPr>
              <w:pStyle w:val="TEKSTwTABELIWYRODKOWANYtekstwyrodkowanywpoziomie"/>
            </w:pPr>
            <w:r>
              <w:t>0,3</w:t>
            </w:r>
          </w:p>
          <w:p w14:paraId="659335F8" w14:textId="77777777" w:rsidR="00063923" w:rsidRPr="00063923" w:rsidRDefault="00063923" w:rsidP="00063923">
            <w:pPr>
              <w:pStyle w:val="TEKSTwTABELIWYRODKOWANYtekstwyrodkowanywpoziomie"/>
            </w:pPr>
            <w:r>
              <w:t>0,5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8A514B" w14:textId="504BBC43" w:rsidR="00063923" w:rsidRPr="00063923" w:rsidRDefault="00063923" w:rsidP="00063923">
            <w:pPr>
              <w:pStyle w:val="TEKSTwTABELIWYRODKOWANYtekstwyrodkowanywpoziomie"/>
            </w:pPr>
            <w:r w:rsidRPr="005E52C8">
              <w:t>0,42</w:t>
            </w:r>
          </w:p>
          <w:p w14:paraId="645DA128" w14:textId="77777777" w:rsidR="00063923" w:rsidRPr="00063923" w:rsidRDefault="00063923" w:rsidP="00063923">
            <w:pPr>
              <w:pStyle w:val="TEKSTwTABELIWYRODKOWANYtekstwyrodkowanywpoziomie"/>
            </w:pPr>
            <w:r>
              <w:t>0,57</w:t>
            </w:r>
          </w:p>
          <w:p w14:paraId="76FC5F7C" w14:textId="77777777" w:rsidR="00063923" w:rsidRPr="00063923" w:rsidRDefault="00063923" w:rsidP="00063923">
            <w:pPr>
              <w:pStyle w:val="TEKSTwTABELIWYRODKOWANYtekstwyrodkowanywpoziomie"/>
            </w:pPr>
            <w:r>
              <w:t>0,77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7FDB9" w14:textId="53D6E531" w:rsidR="00063923" w:rsidRPr="00063923" w:rsidRDefault="00063923" w:rsidP="00063923">
            <w:pPr>
              <w:pStyle w:val="TEKSTwTABELIWYRODKOWANYtekstwyrodkowanywpoziomie"/>
            </w:pPr>
            <w:r w:rsidRPr="005E52C8">
              <w:t>0,17</w:t>
            </w:r>
          </w:p>
          <w:p w14:paraId="40FD8EC7" w14:textId="77777777" w:rsidR="00063923" w:rsidRPr="00063923" w:rsidRDefault="00063923" w:rsidP="00063923">
            <w:pPr>
              <w:pStyle w:val="TEKSTwTABELIWYRODKOWANYtekstwyrodkowanywpoziomie"/>
            </w:pPr>
            <w:r>
              <w:t>0,37</w:t>
            </w:r>
          </w:p>
          <w:p w14:paraId="5A5B49B3" w14:textId="77777777" w:rsidR="00063923" w:rsidRPr="00063923" w:rsidRDefault="00063923" w:rsidP="00063923">
            <w:pPr>
              <w:pStyle w:val="TEKSTwTABELIWYRODKOWANYtekstwyrodkowanywpoziomie"/>
            </w:pPr>
            <w:r>
              <w:t>0,57</w:t>
            </w:r>
          </w:p>
        </w:tc>
      </w:tr>
      <w:tr w:rsidR="00063923" w:rsidRPr="00145150" w14:paraId="0A813B34" w14:textId="77777777" w:rsidTr="00917BE3">
        <w:trPr>
          <w:trHeight w:val="82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5A87" w14:textId="77777777" w:rsidR="00063923" w:rsidRPr="00063923" w:rsidRDefault="00063923" w:rsidP="00063923">
            <w:pPr>
              <w:pStyle w:val="TEKSTwTABELIWYRODKOWANYtekstwyrodkowanywpoziomie"/>
            </w:pPr>
            <w:r w:rsidRPr="005E52C8"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BAE5" w14:textId="5B63A54D" w:rsidR="00063923" w:rsidRPr="00063923" w:rsidRDefault="00063923" w:rsidP="00063923">
            <w:r w:rsidRPr="00063923">
              <w:t>Zasłona z powłoką aluminiową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B277" w14:textId="175CBB29" w:rsidR="00063923" w:rsidRPr="00063923" w:rsidRDefault="00063923" w:rsidP="00063923">
            <w:pPr>
              <w:pStyle w:val="TEKSTwTABELIWYRODKOWANYtekstwyrodkowanywpoziomie"/>
            </w:pPr>
            <w:r w:rsidRPr="005E52C8">
              <w:t>0,2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5FD1" w14:textId="3F123C4D" w:rsidR="00063923" w:rsidRPr="00063923" w:rsidRDefault="00063923" w:rsidP="00063923">
            <w:pPr>
              <w:pStyle w:val="TEKSTwTABELIWYRODKOWANYtekstwyrodkowanywpoziomie"/>
            </w:pPr>
            <w:r w:rsidRPr="005E52C8">
              <w:t>0,05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8D93" w14:textId="39A028D8" w:rsidR="00063923" w:rsidRPr="00063923" w:rsidRDefault="00063923" w:rsidP="00063923">
            <w:pPr>
              <w:pStyle w:val="TEKSTwTABELIWYRODKOWANYtekstwyrodkowanywpoziomie"/>
            </w:pPr>
            <w:r w:rsidRPr="005E52C8">
              <w:t>0,20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02B" w14:textId="7623779E" w:rsidR="00063923" w:rsidRPr="00063923" w:rsidRDefault="00063923" w:rsidP="00063923">
            <w:pPr>
              <w:pStyle w:val="TEKSTwTABELIWYRODKOWANYtekstwyrodkowanywpoziomie"/>
            </w:pPr>
            <w:r w:rsidRPr="005E52C8">
              <w:t>0,08</w:t>
            </w:r>
          </w:p>
        </w:tc>
      </w:tr>
    </w:tbl>
    <w:p w14:paraId="1AC8FB9B" w14:textId="77777777" w:rsidR="00063923" w:rsidRDefault="00063923" w:rsidP="00063923">
      <w:pPr>
        <w:pStyle w:val="PKTpunkt"/>
      </w:pPr>
    </w:p>
    <w:p w14:paraId="2B692840" w14:textId="77777777" w:rsidR="00063923" w:rsidRPr="00F826B0" w:rsidRDefault="00063923" w:rsidP="00C864A9">
      <w:pPr>
        <w:pStyle w:val="LITlitera"/>
      </w:pPr>
      <w:r w:rsidRPr="00F826B0">
        <w:t>2.1.4.</w:t>
      </w:r>
      <w:r w:rsidRPr="00F826B0">
        <w:tab/>
        <w:t>Pkt 2.1.1. nie stosuje się w odniesieniu do powierzchni pionowych oraz powierzchni nachylonych więcej niż 60 stopni do poziomu, skierowanych w</w:t>
      </w:r>
      <w:r>
        <w:t> </w:t>
      </w:r>
      <w:r w:rsidRPr="00F826B0">
        <w:t>kierunkach od północno-zachodniego do północno-wschodniego (kierunek północny +/- 45 stopni), okien chronionych przed promieniowaniem słonecznym elementem zacieniającym, spełniającym wymagania, o których mowa w pkt 2.1.1., oraz do okien o powierzchni mniejszej niż 0,5 m</w:t>
      </w:r>
      <w:r w:rsidRPr="00195F76">
        <w:rPr>
          <w:rStyle w:val="IGindeksgrny"/>
        </w:rPr>
        <w:t>2</w:t>
      </w:r>
      <w:r w:rsidRPr="00F826B0">
        <w:t>.</w:t>
      </w:r>
    </w:p>
    <w:p w14:paraId="7C39E8E7" w14:textId="49B0DB0A" w:rsidR="00063923" w:rsidRPr="00D2231C" w:rsidRDefault="00063923" w:rsidP="00C864A9">
      <w:pPr>
        <w:pStyle w:val="USTustnpkodeksu"/>
      </w:pPr>
      <w:r w:rsidRPr="00D2231C">
        <w:t>2.2.</w:t>
      </w:r>
      <w:r w:rsidRPr="00D2231C">
        <w:tab/>
        <w:t xml:space="preserve">Warunki spełnienia </w:t>
      </w:r>
      <w:bookmarkStart w:id="4" w:name="_Hlk194407046"/>
      <w:r w:rsidRPr="00D2231C">
        <w:t>wymagań dotyczących powierzchniowej kondensacji pary wodnej</w:t>
      </w:r>
      <w:bookmarkEnd w:id="4"/>
      <w:r>
        <w:t>.</w:t>
      </w:r>
    </w:p>
    <w:p w14:paraId="54A8D4F6" w14:textId="4ED2E04C" w:rsidR="00063923" w:rsidRPr="00D2231C" w:rsidRDefault="00063923" w:rsidP="00C864A9">
      <w:pPr>
        <w:pStyle w:val="LITlitera"/>
      </w:pPr>
      <w:r w:rsidRPr="00D2231C">
        <w:t>2.2.1.</w:t>
      </w:r>
      <w:r w:rsidRPr="00D2231C">
        <w:tab/>
        <w:t>W celu zachowania warunku, o którym mowa w § 3</w:t>
      </w:r>
      <w:r w:rsidR="00DF6741">
        <w:t>42</w:t>
      </w:r>
      <w:r w:rsidRPr="00D2231C">
        <w:t xml:space="preserve"> ust. 1, w odniesieniu do przegród zewnętrznych budynk</w:t>
      </w:r>
      <w:r>
        <w:t>u</w:t>
      </w:r>
      <w:r w:rsidRPr="00D2231C">
        <w:t xml:space="preserve"> mieszkaln</w:t>
      </w:r>
      <w:r>
        <w:t>ego</w:t>
      </w:r>
      <w:r w:rsidRPr="00D2231C">
        <w:t>, zamieszkania zbiorowego, użyteczności publicznej, produkcyjn</w:t>
      </w:r>
      <w:r>
        <w:t>ego</w:t>
      </w:r>
      <w:r w:rsidRPr="00D2231C">
        <w:t>, magazynow</w:t>
      </w:r>
      <w:r>
        <w:t>ego</w:t>
      </w:r>
      <w:r w:rsidRPr="00D2231C">
        <w:t xml:space="preserve"> i gospodarcz</w:t>
      </w:r>
      <w:r>
        <w:t>ego</w:t>
      </w:r>
      <w:r w:rsidRPr="00D2231C">
        <w:t xml:space="preserve"> rozwiązania przegród zewnętrznych i ich węzłów konstrukcyjnych </w:t>
      </w:r>
      <w:r>
        <w:t xml:space="preserve">charakteryzują </w:t>
      </w:r>
      <w:r w:rsidRPr="00D2231C">
        <w:t xml:space="preserve">się współczynnikiem temperaturowym </w:t>
      </w:r>
      <w:proofErr w:type="spellStart"/>
      <w:r w:rsidRPr="00D2231C">
        <w:t>f</w:t>
      </w:r>
      <w:r w:rsidRPr="00CE2404">
        <w:rPr>
          <w:rStyle w:val="IDindeksdolny"/>
        </w:rPr>
        <w:t>Rsi</w:t>
      </w:r>
      <w:proofErr w:type="spellEnd"/>
      <w:r w:rsidRPr="00D2231C">
        <w:t xml:space="preserve"> o wartości nie mniejszej niż wymagana wartość krytyczna, obliczona zgodnie z Polską Normą dotyczącą metody obliczania temperatury powierzchni wewnętrznej koniecznej do uniknięcia krytycznej wilgotności powierzchni i kondensacji </w:t>
      </w:r>
      <w:proofErr w:type="spellStart"/>
      <w:r w:rsidRPr="00D2231C">
        <w:t>międzywarstwowej</w:t>
      </w:r>
      <w:proofErr w:type="spellEnd"/>
      <w:r w:rsidRPr="00D2231C">
        <w:t>.</w:t>
      </w:r>
    </w:p>
    <w:p w14:paraId="6BFEC2B2" w14:textId="6953A2AB" w:rsidR="00063923" w:rsidRPr="00D2231C" w:rsidRDefault="00063923" w:rsidP="00C864A9">
      <w:pPr>
        <w:pStyle w:val="LITlitera"/>
      </w:pPr>
      <w:r w:rsidRPr="00D2231C">
        <w:t>2.2.2.</w:t>
      </w:r>
      <w:r w:rsidRPr="00D2231C">
        <w:tab/>
        <w:t xml:space="preserve">Wymaganą wartość krytyczną </w:t>
      </w:r>
      <w:bookmarkStart w:id="5" w:name="_Hlk194407243"/>
      <w:r w:rsidRPr="00D2231C">
        <w:t xml:space="preserve">współczynnika temperaturowego </w:t>
      </w:r>
      <w:proofErr w:type="spellStart"/>
      <w:r w:rsidRPr="00D2231C">
        <w:t>f</w:t>
      </w:r>
      <w:r w:rsidRPr="00CE2404">
        <w:rPr>
          <w:rStyle w:val="IDindeksdolny"/>
        </w:rPr>
        <w:t>Rsi</w:t>
      </w:r>
      <w:proofErr w:type="spellEnd"/>
      <w:r>
        <w:t xml:space="preserve"> </w:t>
      </w:r>
      <w:r w:rsidRPr="00D2231C">
        <w:t>w</w:t>
      </w:r>
      <w:r>
        <w:t> </w:t>
      </w:r>
      <w:r w:rsidRPr="00D2231C">
        <w:t>pomieszczeniach ogrzewanych</w:t>
      </w:r>
      <w:bookmarkEnd w:id="5"/>
      <w:r w:rsidRPr="00D2231C">
        <w:t xml:space="preserve"> do temperatury co najmniej 20°C w budynk</w:t>
      </w:r>
      <w:r>
        <w:t>u</w:t>
      </w:r>
      <w:r w:rsidRPr="00D2231C">
        <w:t xml:space="preserve"> mieszkalny</w:t>
      </w:r>
      <w:r>
        <w:t>m</w:t>
      </w:r>
      <w:r w:rsidRPr="00D2231C">
        <w:t xml:space="preserve">, zamieszkania zbiorowego i użyteczności publicznej </w:t>
      </w:r>
      <w:r>
        <w:t>określa się</w:t>
      </w:r>
      <w:r w:rsidRPr="00D2231C">
        <w:t xml:space="preserve"> według rozdziału 5 Polskiej Normy d</w:t>
      </w:r>
      <w:r>
        <w:t>otyczącej</w:t>
      </w:r>
      <w:r w:rsidRPr="00D2231C">
        <w:t xml:space="preserve"> metody obliczania temperatury powierzchni wewnętrznej koniecznej do uniknięcia krytycznej wilgotności powierzchni i kondensacji </w:t>
      </w:r>
      <w:proofErr w:type="spellStart"/>
      <w:r w:rsidRPr="00D2231C">
        <w:t>międzywarstwowej</w:t>
      </w:r>
      <w:proofErr w:type="spellEnd"/>
      <w:r w:rsidRPr="00D2231C">
        <w:t xml:space="preserve">, przy założeniu, że średnia miesięczna </w:t>
      </w:r>
      <w:r w:rsidRPr="00D2231C">
        <w:lastRenderedPageBreak/>
        <w:t>wartość wilgotności względnej powietrza wewnętrznego jest równa φ = 50%, przy czym dopuszcza się przyjmowanie wymaganej wartości tego współczynnika równej 0,72.</w:t>
      </w:r>
    </w:p>
    <w:p w14:paraId="278024FF" w14:textId="77777777" w:rsidR="00063923" w:rsidRPr="00D2231C" w:rsidRDefault="00063923" w:rsidP="00C864A9">
      <w:pPr>
        <w:pStyle w:val="LITlitera"/>
      </w:pPr>
      <w:r w:rsidRPr="00D2231C">
        <w:t>2.2.3.</w:t>
      </w:r>
      <w:r w:rsidRPr="00D2231C">
        <w:tab/>
        <w:t xml:space="preserve">Wartość współczynnika temperaturowego charakteryzującego zastosowane rozwiązanie konstrukcyjno-materiałowe </w:t>
      </w:r>
      <w:r>
        <w:t>oblicza się</w:t>
      </w:r>
      <w:r w:rsidRPr="00D2231C">
        <w:t>:</w:t>
      </w:r>
    </w:p>
    <w:p w14:paraId="7A1807B3" w14:textId="77777777" w:rsidR="00063923" w:rsidRPr="00D2231C" w:rsidRDefault="00063923" w:rsidP="00C864A9">
      <w:pPr>
        <w:pStyle w:val="TIRtiret"/>
      </w:pPr>
      <w:r w:rsidRPr="00D2231C">
        <w:t>1)</w:t>
      </w:r>
      <w:r w:rsidRPr="00D2231C">
        <w:tab/>
        <w:t>dla przegrody – według Polskiej Normy dotycząc</w:t>
      </w:r>
      <w:r>
        <w:t>ej</w:t>
      </w:r>
      <w:r w:rsidRPr="00D2231C">
        <w:t xml:space="preserve"> metody obliczania temperatury powierzchni wewnętrznej koniecznej do uniknięcia krytycznej wilgotności powierzchni i kondensacji </w:t>
      </w:r>
      <w:proofErr w:type="spellStart"/>
      <w:r w:rsidRPr="00D2231C">
        <w:t>międzywarstwowej</w:t>
      </w:r>
      <w:proofErr w:type="spellEnd"/>
      <w:r>
        <w:t>;</w:t>
      </w:r>
    </w:p>
    <w:p w14:paraId="06EC5FA8" w14:textId="77777777" w:rsidR="00063923" w:rsidRPr="00D2231C" w:rsidRDefault="00063923" w:rsidP="00C864A9">
      <w:pPr>
        <w:pStyle w:val="TIRtiret"/>
      </w:pPr>
      <w:r w:rsidRPr="00D2231C">
        <w:t>2)</w:t>
      </w:r>
      <w:r w:rsidRPr="00D2231C">
        <w:tab/>
        <w:t>dla mostków cieplnych przy zastosowaniu przestrzennego modelu przegrody – według Polskiej Normy dotyczącej obliczania strumieni cieplnych i temperatury powierzchni.</w:t>
      </w:r>
    </w:p>
    <w:p w14:paraId="351E6CCD" w14:textId="5E367285" w:rsidR="00063923" w:rsidRPr="00D2231C" w:rsidRDefault="00063923" w:rsidP="00C864A9">
      <w:pPr>
        <w:pStyle w:val="LITlitera"/>
      </w:pPr>
      <w:r w:rsidRPr="00D2231C">
        <w:t>2.2.4.</w:t>
      </w:r>
      <w:r w:rsidRPr="00D2231C">
        <w:tab/>
        <w:t>Sprawdzenie warunku, o którym mowa w § 3</w:t>
      </w:r>
      <w:r w:rsidR="00DF6741">
        <w:t>42</w:t>
      </w:r>
      <w:r w:rsidRPr="00D2231C">
        <w:t xml:space="preserve"> ust. 1 i 2, przeprowadza</w:t>
      </w:r>
      <w:r>
        <w:t xml:space="preserve"> się</w:t>
      </w:r>
      <w:r w:rsidRPr="00D2231C">
        <w:t xml:space="preserve"> według rozdziału 5 i 6 Polskiej Normy dotycząc</w:t>
      </w:r>
      <w:r w:rsidRPr="00B30530">
        <w:t xml:space="preserve">ej metody obliczania temperatury powierzchni wewnętrznej koniecznej do uniknięcia krytycznej wilgotności powierzchni i kondensacji </w:t>
      </w:r>
      <w:proofErr w:type="spellStart"/>
      <w:r w:rsidRPr="00B30530">
        <w:t>międzywarstwowej</w:t>
      </w:r>
      <w:proofErr w:type="spellEnd"/>
      <w:r w:rsidRPr="00B30530">
        <w:t>.</w:t>
      </w:r>
    </w:p>
    <w:p w14:paraId="6B40B3DC" w14:textId="158680F2" w:rsidR="00063923" w:rsidRPr="00D2231C" w:rsidRDefault="00063923" w:rsidP="00C864A9">
      <w:pPr>
        <w:pStyle w:val="LITlitera"/>
      </w:pPr>
      <w:r w:rsidRPr="00D2231C">
        <w:t>2.2.5.</w:t>
      </w:r>
      <w:r w:rsidRPr="00D2231C">
        <w:tab/>
        <w:t>Dopuszcza się kondensację pary wodnej, o której mowa w § 3</w:t>
      </w:r>
      <w:r w:rsidR="00DF6741">
        <w:t>42</w:t>
      </w:r>
      <w:r w:rsidRPr="00D2231C">
        <w:t xml:space="preserve"> ust. 2, wewnątrz przegrody w okresie zimowym, o ile struktura przegrody umożliwi wyparowanie kondensatu w okresie letnim i nie nastąpi przy tym degradacja materiałów budowlanych przegrody na skutek tej kondensacji.</w:t>
      </w:r>
    </w:p>
    <w:p w14:paraId="2C40F263" w14:textId="269658C6" w:rsidR="00063923" w:rsidRPr="00D2231C" w:rsidRDefault="00063923" w:rsidP="00C864A9">
      <w:pPr>
        <w:pStyle w:val="USTustnpkodeksu"/>
      </w:pPr>
      <w:r w:rsidRPr="00D2231C">
        <w:t>2.3.</w:t>
      </w:r>
      <w:r w:rsidRPr="00D2231C">
        <w:tab/>
        <w:t>Szczelność na przenikanie powietrza</w:t>
      </w:r>
    </w:p>
    <w:p w14:paraId="529F965B" w14:textId="70D87393" w:rsidR="00063923" w:rsidRPr="005C5134" w:rsidRDefault="00063923" w:rsidP="00C864A9">
      <w:pPr>
        <w:pStyle w:val="LITlitera"/>
      </w:pPr>
      <w:r w:rsidRPr="005C5134">
        <w:t>2.3.1.</w:t>
      </w:r>
      <w:r w:rsidRPr="005C5134">
        <w:tab/>
        <w:t>W budynku mieszkalnym, zamieszkania zbiorowego, użyteczności publicznej i</w:t>
      </w:r>
      <w:r>
        <w:t> </w:t>
      </w:r>
      <w:r w:rsidRPr="005C5134">
        <w:t>produkcyjnym przegrody zewnętrzne nieprzezroczyste, złącza między przegrodami</w:t>
      </w:r>
      <w:r>
        <w:t xml:space="preserve"> </w:t>
      </w:r>
      <w:r w:rsidRPr="005C5134">
        <w:t>i</w:t>
      </w:r>
      <w:r>
        <w:t> </w:t>
      </w:r>
      <w:r w:rsidRPr="005C5134">
        <w:t xml:space="preserve">częściami przegród (między innymi połączenie stropodachów lub dachów ze ścianami zewnętrznymi), przejścia elementów instalacji (takie jak kanały instalacji wentylacyjnej i spalinowej przez przegrody zewnętrzne) zapewniają osiągnięcie ich </w:t>
      </w:r>
      <w:bookmarkStart w:id="6" w:name="_Hlk194407345"/>
      <w:r w:rsidRPr="005C5134">
        <w:t>całkowitej szczelności na przenikanie powietrza</w:t>
      </w:r>
      <w:bookmarkEnd w:id="6"/>
      <w:r w:rsidRPr="005C5134">
        <w:t>.</w:t>
      </w:r>
    </w:p>
    <w:p w14:paraId="4F580B75" w14:textId="77777777" w:rsidR="00063923" w:rsidRPr="000355B4" w:rsidRDefault="00063923" w:rsidP="00C864A9">
      <w:pPr>
        <w:pStyle w:val="LITlitera"/>
        <w:rPr>
          <w:rStyle w:val="IGindeksgrny"/>
        </w:rPr>
      </w:pPr>
      <w:r w:rsidRPr="005C5134">
        <w:t>2.3.2.</w:t>
      </w:r>
      <w:r w:rsidRPr="005C5134">
        <w:tab/>
        <w:t>W budynkach niskich (N), średniowysokich (SW) i wysokich (W) dla okien i</w:t>
      </w:r>
      <w:r>
        <w:t> </w:t>
      </w:r>
      <w:r w:rsidRPr="005C5134">
        <w:t>drzwi balkonowych współczynnik infiltracji powietrza powinien wynosić nie więcej niż 0,3 m</w:t>
      </w:r>
      <w:r w:rsidRPr="00195F76">
        <w:rPr>
          <w:rStyle w:val="IGindeksgrny"/>
        </w:rPr>
        <w:t>3</w:t>
      </w:r>
      <w:r w:rsidRPr="005C5134">
        <w:t>/mhdaPa</w:t>
      </w:r>
      <w:r w:rsidRPr="00195F76">
        <w:rPr>
          <w:rStyle w:val="IGindeksgrny"/>
        </w:rPr>
        <w:t>2/3</w:t>
      </w:r>
      <w:r w:rsidRPr="005C5134">
        <w:t xml:space="preserve"> a przepuszczalność powietrza przy ciśnieniu równym 100 Pa wynosi nie więcej niż 2,25 m</w:t>
      </w:r>
      <w:r w:rsidRPr="00195F76">
        <w:rPr>
          <w:rStyle w:val="IGindeksgrny"/>
        </w:rPr>
        <w:t>3</w:t>
      </w:r>
      <w:r w:rsidRPr="005C5134">
        <w:t>/(m · h) w odniesieniu do długości linii stykowej lub 9 m</w:t>
      </w:r>
      <w:r w:rsidRPr="00195F76">
        <w:rPr>
          <w:rStyle w:val="IGindeksgrny"/>
        </w:rPr>
        <w:t>3</w:t>
      </w:r>
      <w:r w:rsidRPr="005C5134">
        <w:t>/(m</w:t>
      </w:r>
      <w:r w:rsidRPr="00195F76">
        <w:rPr>
          <w:rStyle w:val="IGindeksgrny"/>
        </w:rPr>
        <w:t>2</w:t>
      </w:r>
      <w:r w:rsidRPr="005C5134">
        <w:t xml:space="preserve"> · h) w odniesieniu do pola powierzchni, co odpowiada klasie 3 Polskiej Normy dotyczącej przepuszczalności powietrza okien i drzwi</w:t>
      </w:r>
      <w:r>
        <w:t xml:space="preserve">. Dla okien i drzwi balkonowych </w:t>
      </w:r>
      <w:r w:rsidRPr="005C5134">
        <w:t xml:space="preserve">w budynkach wysokościowych (WW) przepuszczalność powietrza </w:t>
      </w:r>
      <w:r w:rsidRPr="005C5134">
        <w:lastRenderedPageBreak/>
        <w:t>przy ciśnieniu równym</w:t>
      </w:r>
      <w:r>
        <w:t xml:space="preserve"> </w:t>
      </w:r>
      <w:r w:rsidRPr="005C5134">
        <w:t>100 Pa wynosi nie więcej niż 0,75 m</w:t>
      </w:r>
      <w:r w:rsidRPr="00195F76">
        <w:rPr>
          <w:rStyle w:val="IGindeksgrny"/>
        </w:rPr>
        <w:t>3</w:t>
      </w:r>
      <w:r w:rsidRPr="005C5134">
        <w:t>/(m · h) w odniesieniu do długości linii stykowej lub 3 m</w:t>
      </w:r>
      <w:r w:rsidRPr="00195F76">
        <w:rPr>
          <w:rStyle w:val="IGindeksgrny"/>
        </w:rPr>
        <w:t>3</w:t>
      </w:r>
      <w:r w:rsidRPr="005C5134">
        <w:t>/(m</w:t>
      </w:r>
      <w:r w:rsidRPr="00195F76">
        <w:rPr>
          <w:rStyle w:val="IGindeksgrny"/>
        </w:rPr>
        <w:t>2</w:t>
      </w:r>
      <w:r w:rsidRPr="005C5134">
        <w:t xml:space="preserve"> · h) w odniesieniu do pola powierzchni, co odpowiada klasie 4 Polskiej Normy dotyczącej przepuszczalności. </w:t>
      </w:r>
      <w:r w:rsidRPr="005C5134">
        <w:tab/>
        <w:t>Dla połączenia okien z ościeżami współczynnik infiltracji powietrza nie powinien być większy od 0,3 m</w:t>
      </w:r>
      <w:r w:rsidRPr="00195F76">
        <w:rPr>
          <w:rStyle w:val="IGindeksgrny"/>
        </w:rPr>
        <w:t>3</w:t>
      </w:r>
      <w:r w:rsidRPr="005C5134">
        <w:t>/mhdaPa</w:t>
      </w:r>
      <w:r w:rsidRPr="00195F76">
        <w:rPr>
          <w:rStyle w:val="IGindeksgrny"/>
        </w:rPr>
        <w:t>2/3</w:t>
      </w:r>
      <w:r w:rsidRPr="00195F76">
        <w:t>.</w:t>
      </w:r>
    </w:p>
    <w:p w14:paraId="7FBC5EA4" w14:textId="77777777" w:rsidR="00063923" w:rsidRPr="00CB6089" w:rsidRDefault="00063923" w:rsidP="00063923">
      <w:pPr>
        <w:pStyle w:val="TIRtiret"/>
      </w:pPr>
      <w:r w:rsidRPr="005C5134">
        <w:t>Współczynnik infiltracji powietrza, jako wartość średnia liczona wg wzoru:</w:t>
      </w:r>
    </w:p>
    <w:p w14:paraId="7887C34B" w14:textId="77777777" w:rsidR="00063923" w:rsidRPr="007828A4" w:rsidRDefault="00063923" w:rsidP="00C864A9">
      <w:pPr>
        <w:pStyle w:val="WMATFIZCHEMwzrmatfizlubchem"/>
        <w:rPr>
          <w:rStyle w:val="Pogrubienie"/>
        </w:rPr>
      </w:pPr>
      <m:oMathPara>
        <m:oMath>
          <m:r>
            <w:rPr>
              <w:rStyle w:val="Pogrubienie"/>
              <w:rFonts w:ascii="Cambria Math" w:hAnsi="Cambria Math"/>
            </w:rPr>
            <m:t>a</m:t>
          </m:r>
          <m:r>
            <m:rPr>
              <m:sty m:val="p"/>
            </m:rPr>
            <w:rPr>
              <w:rStyle w:val="Pogrubienie"/>
              <w:rFonts w:ascii="Cambria Math" w:hAnsi="Cambria Math"/>
            </w:rPr>
            <m:t>=</m:t>
          </m:r>
          <m:f>
            <m:fPr>
              <m:ctrlPr>
                <w:rPr>
                  <w:rStyle w:val="Pogrubienie"/>
                  <w:rFonts w:ascii="Cambria Math" w:hAnsi="Cambria Math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Pogrubienie"/>
                      <w:rFonts w:ascii="Cambria Math" w:hAnsi="Cambria Math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Pogrubienie"/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Style w:val="Pogrubienie"/>
                      <w:rFonts w:ascii="Cambria Math" w:hAnsi="Cambria Math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Style w:val="IGindeksgrny"/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Pogrubienie"/>
                      <w:rFonts w:ascii="Cambria Math" w:hAnsi="Cambria Math"/>
                    </w:rPr>
                    <m:t>L∙(∆p)</m:t>
                  </m:r>
                </m:e>
                <m:sup>
                  <m:r>
                    <m:rPr>
                      <m:sty m:val="p"/>
                    </m:rPr>
                    <w:rPr>
                      <w:rStyle w:val="IGindeksgrny"/>
                      <w:rFonts w:ascii="Cambria Math" w:hAnsi="Cambria Math"/>
                    </w:rPr>
                    <m:t>2/3</m:t>
                  </m:r>
                </m:sup>
              </m:sSup>
            </m:den>
          </m:f>
        </m:oMath>
      </m:oMathPara>
    </w:p>
    <w:p w14:paraId="0B5C0F0F" w14:textId="77777777" w:rsidR="00063923" w:rsidRPr="00CB6089" w:rsidRDefault="00063923" w:rsidP="00C864A9">
      <w:pPr>
        <w:pStyle w:val="LEGWMATFIZCHEMlegendawzorumatfizlubchem"/>
      </w:pPr>
      <w:r w:rsidRPr="00CB6089">
        <w:t>gdzie:</w:t>
      </w:r>
    </w:p>
    <w:p w14:paraId="65BA5AD5" w14:textId="5E3C7C91" w:rsidR="00063923" w:rsidRPr="00CB6089" w:rsidRDefault="00063923" w:rsidP="00C864A9">
      <w:pPr>
        <w:pStyle w:val="LEGWMATFIZCHEMlegendawzorumatfizlubchem"/>
      </w:pPr>
      <m:oMath>
        <m:r>
          <w:rPr>
            <w:rStyle w:val="Pogrubienie"/>
            <w:rFonts w:ascii="Cambria Math" w:hAnsi="Cambria Math"/>
          </w:rPr>
          <m:t>a</m:t>
        </m:r>
      </m:oMath>
      <w:r w:rsidRPr="00CB6089">
        <w:t xml:space="preserve"> – strumień objętości powietrza, jaki przeniknie w ciągu 1h przez 1mb szczeliny stykowej między skrzydłem (skrzydłami) a ościeżnicą oraz między skrzydłami w</w:t>
      </w:r>
      <w:r w:rsidR="004560D0">
        <w:t> </w:t>
      </w:r>
      <w:r w:rsidRPr="00CB6089">
        <w:t xml:space="preserve">oknach wieloskrzydłowych, w warunkach normalnych, przy różnicy ciśnień </w:t>
      </w:r>
      <w:proofErr w:type="spellStart"/>
      <w:r w:rsidRPr="00CB6089">
        <w:t>Δp</w:t>
      </w:r>
      <w:proofErr w:type="spellEnd"/>
      <w:r w:rsidRPr="00CB6089">
        <w:t>=1daPa, m</w:t>
      </w:r>
      <w:r w:rsidRPr="000C4FDD">
        <w:rPr>
          <w:rStyle w:val="IGindeksgrny"/>
        </w:rPr>
        <w:t>3</w:t>
      </w:r>
      <w:r w:rsidRPr="00CB6089">
        <w:t>/(</w:t>
      </w:r>
      <w:proofErr w:type="spellStart"/>
      <w:r w:rsidRPr="00CB6089">
        <w:t>hm</w:t>
      </w:r>
      <w:proofErr w:type="spellEnd"/>
      <w:r w:rsidRPr="00CB6089">
        <w:t>(</w:t>
      </w:r>
      <w:proofErr w:type="spellStart"/>
      <w:r w:rsidRPr="00CB6089">
        <w:t>daPa</w:t>
      </w:r>
      <w:proofErr w:type="spellEnd"/>
      <w:r w:rsidRPr="00CB6089">
        <w:t>)</w:t>
      </w:r>
      <w:r w:rsidRPr="000C4FDD">
        <w:rPr>
          <w:rStyle w:val="IGindeksgrny"/>
        </w:rPr>
        <w:t>2/3</w:t>
      </w:r>
      <w:r w:rsidRPr="00CB6089">
        <w:t>,</w:t>
      </w:r>
    </w:p>
    <w:p w14:paraId="393B99E9" w14:textId="339BD238" w:rsidR="00063923" w:rsidRPr="00CB6089" w:rsidRDefault="00E611D6" w:rsidP="00C864A9">
      <w:pPr>
        <w:pStyle w:val="LEGWMATFIZCHEMlegendawzorumatfizlubchem"/>
      </w:pPr>
      <m:oMath>
        <m:sSub>
          <m:sSubPr>
            <m:ctrlPr>
              <w:rPr>
                <w:rStyle w:val="Pogrubienie"/>
                <w:rFonts w:ascii="Cambria Math" w:hAnsi="Cambria Math"/>
                <w:b w:val="0"/>
                <w:bCs w:val="0"/>
              </w:rPr>
            </m:ctrlPr>
          </m:sSubPr>
          <m:e>
            <m:r>
              <w:rPr>
                <w:rStyle w:val="Pogrubienie"/>
                <w:rFonts w:ascii="Cambria Math" w:hAnsi="Cambria Math"/>
              </w:rPr>
              <m:t>Q</m:t>
            </m:r>
          </m:e>
          <m:sub>
            <m:r>
              <w:rPr>
                <w:rStyle w:val="Pogrubienie"/>
                <w:rFonts w:ascii="Cambria Math" w:hAnsi="Cambria Math"/>
              </w:rPr>
              <m:t>0</m:t>
            </m:r>
          </m:sub>
        </m:sSub>
      </m:oMath>
      <w:r w:rsidR="00EC71D0">
        <w:t xml:space="preserve"> </w:t>
      </w:r>
      <w:r w:rsidR="00EC71D0" w:rsidRPr="00EC71D0">
        <w:t>–</w:t>
      </w:r>
      <w:r w:rsidR="00EC71D0">
        <w:t xml:space="preserve"> </w:t>
      </w:r>
      <w:r w:rsidR="00063923" w:rsidRPr="00CB6089">
        <w:t>strumień objętości powietrza, określony w</w:t>
      </w:r>
      <w:r w:rsidR="00EC71D0">
        <w:t>edług</w:t>
      </w:r>
      <w:r w:rsidR="00063923" w:rsidRPr="00CB6089">
        <w:t xml:space="preserve"> </w:t>
      </w:r>
      <w:r w:rsidR="00EC71D0">
        <w:t>P</w:t>
      </w:r>
      <w:r w:rsidR="00063923" w:rsidRPr="00CB6089">
        <w:t xml:space="preserve">olskiej </w:t>
      </w:r>
      <w:r w:rsidR="00EC71D0">
        <w:t>N</w:t>
      </w:r>
      <w:r w:rsidR="00063923" w:rsidRPr="00CB6089">
        <w:t>ormy, dla każdego poziomu różnicy ciśnień: Δp:50, 100,150, 200, 250 i 300 Pa,</w:t>
      </w:r>
    </w:p>
    <w:p w14:paraId="3E8C5523" w14:textId="343833DB" w:rsidR="00063923" w:rsidRPr="00CB6089" w:rsidRDefault="00063923" w:rsidP="00C864A9">
      <w:pPr>
        <w:pStyle w:val="LEGWMATFIZCHEMlegendawzorumatfizlubchem"/>
      </w:pPr>
      <w:r w:rsidRPr="00CB6089">
        <w:t>L – łączna długość linii stykowych, mierzona w</w:t>
      </w:r>
      <w:r w:rsidR="00EC71D0">
        <w:t>edług</w:t>
      </w:r>
      <w:r w:rsidRPr="00CB6089">
        <w:t xml:space="preserve"> </w:t>
      </w:r>
      <w:r w:rsidR="00EC71D0">
        <w:t>P</w:t>
      </w:r>
      <w:r w:rsidRPr="00CB6089">
        <w:t xml:space="preserve">olskiej </w:t>
      </w:r>
      <w:r w:rsidR="00EC71D0">
        <w:t>N</w:t>
      </w:r>
      <w:r w:rsidRPr="00CB6089">
        <w:t>ormy,</w:t>
      </w:r>
    </w:p>
    <w:p w14:paraId="28AB0339" w14:textId="77777777" w:rsidR="00063923" w:rsidRDefault="00063923" w:rsidP="00C864A9">
      <w:pPr>
        <w:pStyle w:val="LEGWMATFIZCHEMlegendawzorumatfizlubchem"/>
      </w:pPr>
      <w:proofErr w:type="spellStart"/>
      <w:r w:rsidRPr="00CB6089">
        <w:t>Δp</w:t>
      </w:r>
      <w:proofErr w:type="spellEnd"/>
      <w:r w:rsidRPr="00CB6089">
        <w:t xml:space="preserve"> –</w:t>
      </w:r>
      <w:r>
        <w:t xml:space="preserve"> </w:t>
      </w:r>
      <w:r w:rsidRPr="00CB6089">
        <w:t>różnica ciśnień powietrza między stroną zewnętr</w:t>
      </w:r>
      <w:r>
        <w:t>zną i wewnętrzną , równa 1daPa.</w:t>
      </w:r>
    </w:p>
    <w:p w14:paraId="43A75D93" w14:textId="77777777" w:rsidR="00063923" w:rsidRPr="00D2231C" w:rsidRDefault="00063923" w:rsidP="00C864A9">
      <w:pPr>
        <w:pStyle w:val="LITlitera"/>
      </w:pPr>
      <w:r w:rsidRPr="00D2231C">
        <w:t>2.3.3.</w:t>
      </w:r>
      <w:r w:rsidRPr="00D2231C">
        <w:tab/>
        <w:t>Zalecana szczelność powietrzna budynków wynosi:</w:t>
      </w:r>
    </w:p>
    <w:p w14:paraId="06BDAF44" w14:textId="77777777" w:rsidR="00063923" w:rsidRPr="00D2231C" w:rsidRDefault="00063923" w:rsidP="00C864A9">
      <w:pPr>
        <w:pStyle w:val="TIRtiret"/>
      </w:pPr>
      <w:r w:rsidRPr="00D2231C">
        <w:t>1)</w:t>
      </w:r>
      <w:r w:rsidRPr="00D2231C">
        <w:tab/>
        <w:t>w budynkach z wentylacją grawitacyjną lub wentylacją hybrydową – n</w:t>
      </w:r>
      <w:r w:rsidRPr="00766080">
        <w:rPr>
          <w:rStyle w:val="IDindeksdolny"/>
        </w:rPr>
        <w:t>50</w:t>
      </w:r>
      <w:r w:rsidRPr="00D2231C">
        <w:t xml:space="preserve"> &lt; 3,0 1/h;</w:t>
      </w:r>
    </w:p>
    <w:p w14:paraId="35F97588" w14:textId="77777777" w:rsidR="00063923" w:rsidRPr="00D2231C" w:rsidRDefault="00063923" w:rsidP="00C864A9">
      <w:pPr>
        <w:pStyle w:val="TIRtiret"/>
      </w:pPr>
      <w:r w:rsidRPr="00D2231C">
        <w:t>2)</w:t>
      </w:r>
      <w:r w:rsidRPr="00D2231C">
        <w:tab/>
        <w:t>w budynkach z wentylacją mechaniczną lub klimatyzacją – n</w:t>
      </w:r>
      <w:r w:rsidRPr="00766080">
        <w:rPr>
          <w:rStyle w:val="IDindeksdolny"/>
        </w:rPr>
        <w:t>50</w:t>
      </w:r>
      <w:r w:rsidRPr="00D2231C">
        <w:t xml:space="preserve"> &lt; 1,5 1/h.</w:t>
      </w:r>
    </w:p>
    <w:p w14:paraId="2B031035" w14:textId="3C962F9A" w:rsidR="00E54DBA" w:rsidRPr="00DC58EF" w:rsidRDefault="00063923" w:rsidP="00DC58EF">
      <w:pPr>
        <w:pStyle w:val="LITlitera"/>
        <w:rPr>
          <w:b/>
        </w:rPr>
      </w:pPr>
      <w:r w:rsidRPr="005C5134">
        <w:t>2.3.4.</w:t>
      </w:r>
      <w:r w:rsidRPr="005C5134">
        <w:tab/>
        <w:t>Zalecane jest, by po zakończeniu budowy budynek mieszkalny, zamieszkania zbiorowego, użyteczności publicznej i produkcyjny został poddany próbie szczelności przeprowadzonej zgodnie z Polską Normą dotyczącą określania przepuszczalności powietrznej budynków w celu uzyskania zalecanej szczelności budynków określonej w pkt 2.3.3.</w:t>
      </w:r>
    </w:p>
    <w:sectPr w:rsidR="00E54DBA" w:rsidRPr="00DC58EF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3968" w14:textId="77777777" w:rsidR="005779F8" w:rsidRDefault="005779F8">
      <w:r>
        <w:separator/>
      </w:r>
    </w:p>
  </w:endnote>
  <w:endnote w:type="continuationSeparator" w:id="0">
    <w:p w14:paraId="7306828A" w14:textId="77777777" w:rsidR="005779F8" w:rsidRDefault="0057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991D" w14:textId="77777777" w:rsidR="005779F8" w:rsidRDefault="005779F8">
      <w:r>
        <w:separator/>
      </w:r>
    </w:p>
  </w:footnote>
  <w:footnote w:type="continuationSeparator" w:id="0">
    <w:p w14:paraId="1062619F" w14:textId="77777777" w:rsidR="005779F8" w:rsidRDefault="0057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D02"/>
    <w:multiLevelType w:val="multilevel"/>
    <w:tmpl w:val="63AC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270"/>
    <w:multiLevelType w:val="hybridMultilevel"/>
    <w:tmpl w:val="72A0F5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B69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3AB8"/>
    <w:multiLevelType w:val="hybridMultilevel"/>
    <w:tmpl w:val="A4166EFC"/>
    <w:lvl w:ilvl="0" w:tplc="2B70B698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76D22AB8"/>
    <w:multiLevelType w:val="multilevel"/>
    <w:tmpl w:val="F8D80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34997">
    <w:abstractNumId w:val="5"/>
  </w:num>
  <w:num w:numId="2" w16cid:durableId="391585229">
    <w:abstractNumId w:val="8"/>
  </w:num>
  <w:num w:numId="3" w16cid:durableId="2099252550">
    <w:abstractNumId w:val="12"/>
  </w:num>
  <w:num w:numId="4" w16cid:durableId="470178122">
    <w:abstractNumId w:val="21"/>
  </w:num>
  <w:num w:numId="5" w16cid:durableId="901796040">
    <w:abstractNumId w:val="22"/>
  </w:num>
  <w:num w:numId="6" w16cid:durableId="2098861231">
    <w:abstractNumId w:val="20"/>
  </w:num>
  <w:num w:numId="7" w16cid:durableId="415059251">
    <w:abstractNumId w:val="1"/>
  </w:num>
  <w:num w:numId="8" w16cid:durableId="1054505300">
    <w:abstractNumId w:val="24"/>
  </w:num>
  <w:num w:numId="9" w16cid:durableId="834876893">
    <w:abstractNumId w:val="19"/>
  </w:num>
  <w:num w:numId="10" w16cid:durableId="1359699105">
    <w:abstractNumId w:val="17"/>
  </w:num>
  <w:num w:numId="11" w16cid:durableId="738090375">
    <w:abstractNumId w:val="9"/>
  </w:num>
  <w:num w:numId="12" w16cid:durableId="970479491">
    <w:abstractNumId w:val="10"/>
  </w:num>
  <w:num w:numId="13" w16cid:durableId="1570727185">
    <w:abstractNumId w:val="4"/>
  </w:num>
  <w:num w:numId="14" w16cid:durableId="794367383">
    <w:abstractNumId w:val="11"/>
  </w:num>
  <w:num w:numId="15" w16cid:durableId="1966036337">
    <w:abstractNumId w:val="3"/>
  </w:num>
  <w:num w:numId="16" w16cid:durableId="1199388760">
    <w:abstractNumId w:val="14"/>
  </w:num>
  <w:num w:numId="17" w16cid:durableId="1931574625">
    <w:abstractNumId w:val="13"/>
  </w:num>
  <w:num w:numId="18" w16cid:durableId="149836600">
    <w:abstractNumId w:val="15"/>
  </w:num>
  <w:num w:numId="19" w16cid:durableId="1968588102">
    <w:abstractNumId w:val="23"/>
  </w:num>
  <w:num w:numId="20" w16cid:durableId="472064337">
    <w:abstractNumId w:val="2"/>
  </w:num>
  <w:num w:numId="21" w16cid:durableId="70202157">
    <w:abstractNumId w:val="18"/>
  </w:num>
  <w:num w:numId="22" w16cid:durableId="104077928">
    <w:abstractNumId w:val="16"/>
  </w:num>
  <w:num w:numId="23" w16cid:durableId="148893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46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9403240">
    <w:abstractNumId w:val="6"/>
  </w:num>
  <w:num w:numId="26" w16cid:durableId="308173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35C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442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3923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24A"/>
    <w:rsid w:val="00092BE3"/>
    <w:rsid w:val="00093AD5"/>
    <w:rsid w:val="000944EF"/>
    <w:rsid w:val="0009457D"/>
    <w:rsid w:val="00095A92"/>
    <w:rsid w:val="00095BFF"/>
    <w:rsid w:val="00095E99"/>
    <w:rsid w:val="000964D4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AC5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2FF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163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4F9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D7A41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8BE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1AF"/>
    <w:rsid w:val="002534E7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433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352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0C0D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11E"/>
    <w:rsid w:val="003016E8"/>
    <w:rsid w:val="00301C97"/>
    <w:rsid w:val="00301CB3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947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BE8"/>
    <w:rsid w:val="003C6DCC"/>
    <w:rsid w:val="003C7269"/>
    <w:rsid w:val="003C782F"/>
    <w:rsid w:val="003D02DE"/>
    <w:rsid w:val="003D0CAB"/>
    <w:rsid w:val="003D0FAF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23A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280"/>
    <w:rsid w:val="0044145F"/>
    <w:rsid w:val="0044175C"/>
    <w:rsid w:val="004418E8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0D0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5C5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26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90C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82"/>
    <w:rsid w:val="00503D9F"/>
    <w:rsid w:val="00504958"/>
    <w:rsid w:val="005051A8"/>
    <w:rsid w:val="00505F2A"/>
    <w:rsid w:val="0050696D"/>
    <w:rsid w:val="00510068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45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9F8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0DE6"/>
    <w:rsid w:val="005A153F"/>
    <w:rsid w:val="005A15F2"/>
    <w:rsid w:val="005A2E05"/>
    <w:rsid w:val="005A2F1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173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7E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238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87D2A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349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8D4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291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279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B85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0B1A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074B8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91C"/>
    <w:rsid w:val="00937DFB"/>
    <w:rsid w:val="0094030D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95E"/>
    <w:rsid w:val="00965E27"/>
    <w:rsid w:val="00965F88"/>
    <w:rsid w:val="009664E9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4F45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0E91"/>
    <w:rsid w:val="009F1AB0"/>
    <w:rsid w:val="009F2303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12BE"/>
    <w:rsid w:val="00AA155E"/>
    <w:rsid w:val="00AA1BE5"/>
    <w:rsid w:val="00AA1C2C"/>
    <w:rsid w:val="00AA2261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E7F92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295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2C37"/>
    <w:rsid w:val="00BA374B"/>
    <w:rsid w:val="00BA426A"/>
    <w:rsid w:val="00BA49FF"/>
    <w:rsid w:val="00BA4C1C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1F23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4A9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13F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A8F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5EFB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0AA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58EF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741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4DBA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1D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597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1E93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312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1D0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1E93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9</Pages>
  <Words>1803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2025-06-16T04:36:00Z</dcterms:created>
  <dcterms:modified xsi:type="dcterms:W3CDTF">2025-06-16T04:36:00Z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