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8"/>
        <w:gridCol w:w="2292"/>
        <w:gridCol w:w="1671"/>
        <w:gridCol w:w="1325"/>
        <w:gridCol w:w="2981"/>
      </w:tblGrid>
      <w:tr w:rsidR="009F00FC" w:rsidRPr="009F00FC" w14:paraId="6AD7FD1A" w14:textId="77777777" w:rsidTr="00936F7C">
        <w:trPr>
          <w:trHeight w:val="4835"/>
        </w:trPr>
        <w:tc>
          <w:tcPr>
            <w:tcW w:w="6631" w:type="dxa"/>
            <w:gridSpan w:val="3"/>
          </w:tcPr>
          <w:p w14:paraId="1FAA1035" w14:textId="77777777" w:rsidR="006A701A" w:rsidRPr="009F00FC" w:rsidRDefault="006A701A" w:rsidP="002B13D9">
            <w:pPr>
              <w:spacing w:line="240" w:lineRule="auto"/>
              <w:ind w:left="36"/>
              <w:rPr>
                <w:rFonts w:ascii="Times New Roman" w:hAnsi="Times New Roman"/>
              </w:rPr>
            </w:pPr>
            <w:bookmarkStart w:id="0" w:name="t1"/>
            <w:r w:rsidRPr="009F00FC">
              <w:rPr>
                <w:rFonts w:ascii="Times New Roman" w:hAnsi="Times New Roman"/>
                <w:b/>
              </w:rPr>
              <w:t xml:space="preserve">Nazwa </w:t>
            </w:r>
            <w:r w:rsidR="001B75D8" w:rsidRPr="009F00FC">
              <w:rPr>
                <w:rFonts w:ascii="Times New Roman" w:hAnsi="Times New Roman"/>
                <w:b/>
              </w:rPr>
              <w:t>projektu</w:t>
            </w:r>
          </w:p>
          <w:p w14:paraId="376A57A5" w14:textId="76DE47C2" w:rsidR="00770023" w:rsidRPr="009F00FC" w:rsidRDefault="00770023" w:rsidP="002B13D9">
            <w:pPr>
              <w:spacing w:line="240" w:lineRule="auto"/>
              <w:ind w:left="36"/>
              <w:rPr>
                <w:rFonts w:ascii="Times New Roman" w:hAnsi="Times New Roman"/>
              </w:rPr>
            </w:pPr>
            <w:bookmarkStart w:id="1" w:name="_Hlk188345424"/>
            <w:r w:rsidRPr="009F00FC">
              <w:rPr>
                <w:rFonts w:ascii="Times New Roman" w:hAnsi="Times New Roman"/>
              </w:rPr>
              <w:t xml:space="preserve">Ustawa o zmianie ustawy </w:t>
            </w:r>
            <w:r w:rsidR="00534677" w:rsidRPr="009F00FC">
              <w:rPr>
                <w:rFonts w:ascii="Times New Roman" w:hAnsi="Times New Roman"/>
              </w:rPr>
              <w:t>–</w:t>
            </w:r>
            <w:r w:rsidRPr="009F00FC">
              <w:rPr>
                <w:rFonts w:ascii="Times New Roman" w:hAnsi="Times New Roman"/>
              </w:rPr>
              <w:t xml:space="preserve"> Prawo ochrony środowiska oraz niektórych innych ustaw</w:t>
            </w:r>
            <w:bookmarkEnd w:id="1"/>
          </w:p>
          <w:p w14:paraId="5F003CF4" w14:textId="7C1462EB" w:rsidR="007A2509" w:rsidRPr="009F00FC" w:rsidRDefault="007A2509" w:rsidP="002B13D9">
            <w:pPr>
              <w:spacing w:line="240" w:lineRule="auto"/>
              <w:ind w:left="36"/>
              <w:rPr>
                <w:rFonts w:ascii="Times New Roman" w:hAnsi="Times New Roman"/>
                <w:b/>
              </w:rPr>
            </w:pPr>
          </w:p>
          <w:p w14:paraId="272F4AC9" w14:textId="77777777" w:rsidR="006A701A" w:rsidRPr="009F00FC" w:rsidRDefault="006A701A" w:rsidP="002B13D9">
            <w:pPr>
              <w:spacing w:line="240" w:lineRule="auto"/>
              <w:ind w:left="36"/>
              <w:rPr>
                <w:rFonts w:ascii="Times New Roman" w:hAnsi="Times New Roman"/>
                <w:b/>
              </w:rPr>
            </w:pPr>
            <w:r w:rsidRPr="009F00FC">
              <w:rPr>
                <w:rFonts w:ascii="Times New Roman" w:hAnsi="Times New Roman"/>
                <w:b/>
              </w:rPr>
              <w:t>Ministerstwo wiodące i ministerstwa współpracujące</w:t>
            </w:r>
          </w:p>
          <w:bookmarkEnd w:id="0"/>
          <w:p w14:paraId="43F5C6EA" w14:textId="212FF1BD" w:rsidR="00853CF8" w:rsidRPr="009F00FC" w:rsidRDefault="00DC1915" w:rsidP="002B13D9">
            <w:pPr>
              <w:spacing w:line="240" w:lineRule="auto"/>
              <w:ind w:left="36"/>
              <w:rPr>
                <w:rFonts w:ascii="Times New Roman" w:hAnsi="Times New Roman"/>
              </w:rPr>
            </w:pPr>
            <w:r w:rsidRPr="009F00FC">
              <w:rPr>
                <w:rFonts w:ascii="Times New Roman" w:hAnsi="Times New Roman"/>
              </w:rPr>
              <w:t>Ministerstwo Klimatu i Środowiska</w:t>
            </w:r>
            <w:r w:rsidR="00853CF8" w:rsidRPr="009F00FC">
              <w:rPr>
                <w:rFonts w:ascii="Times New Roman" w:hAnsi="Times New Roman"/>
              </w:rPr>
              <w:t xml:space="preserve"> – wiodące</w:t>
            </w:r>
          </w:p>
          <w:p w14:paraId="5C54DB4F" w14:textId="7AF72B0D" w:rsidR="008B771E" w:rsidRPr="009F00FC" w:rsidRDefault="00853CF8" w:rsidP="002B13D9">
            <w:pPr>
              <w:spacing w:line="240" w:lineRule="auto"/>
              <w:ind w:left="36"/>
              <w:rPr>
                <w:rFonts w:ascii="Times New Roman" w:hAnsi="Times New Roman"/>
              </w:rPr>
            </w:pPr>
            <w:r w:rsidRPr="009F00FC">
              <w:rPr>
                <w:rFonts w:ascii="Times New Roman" w:hAnsi="Times New Roman"/>
              </w:rPr>
              <w:t xml:space="preserve">Ministerstwo Rolnictwa i Rozwoju Wsi, Ministerstwo Infrastruktury, Ministerstwo Rozwoju i Technologii </w:t>
            </w:r>
            <w:r w:rsidR="005F668C" w:rsidRPr="009F00FC">
              <w:rPr>
                <w:rFonts w:ascii="Times New Roman" w:hAnsi="Times New Roman"/>
              </w:rPr>
              <w:t>–</w:t>
            </w:r>
            <w:r w:rsidRPr="009F00FC">
              <w:rPr>
                <w:rFonts w:ascii="Times New Roman" w:hAnsi="Times New Roman"/>
              </w:rPr>
              <w:t xml:space="preserve"> współpracujące</w:t>
            </w:r>
          </w:p>
          <w:p w14:paraId="3E6E3AD1" w14:textId="77777777" w:rsidR="007A2509" w:rsidRPr="009F00FC" w:rsidRDefault="007A2509" w:rsidP="002B13D9">
            <w:pPr>
              <w:spacing w:line="240" w:lineRule="auto"/>
              <w:ind w:left="36"/>
              <w:rPr>
                <w:rFonts w:ascii="Times New Roman" w:hAnsi="Times New Roman"/>
                <w:b/>
              </w:rPr>
            </w:pPr>
          </w:p>
          <w:p w14:paraId="2DBA4204" w14:textId="77777777" w:rsidR="004D7E46" w:rsidRPr="009F00FC" w:rsidRDefault="001B3460" w:rsidP="002B13D9">
            <w:pPr>
              <w:spacing w:line="240" w:lineRule="auto"/>
              <w:ind w:left="36"/>
              <w:rPr>
                <w:rFonts w:ascii="Times New Roman" w:hAnsi="Times New Roman"/>
                <w:b/>
              </w:rPr>
            </w:pPr>
            <w:r w:rsidRPr="009F00FC">
              <w:rPr>
                <w:rFonts w:ascii="Times New Roman" w:hAnsi="Times New Roman"/>
                <w:b/>
              </w:rPr>
              <w:t>Osoba odpowiedzialna za projekt w randze Ministra, Sekretarza Stanu lub Podsekretarza Stanu</w:t>
            </w:r>
          </w:p>
          <w:p w14:paraId="0017564A" w14:textId="28AB2E6E" w:rsidR="009C3094" w:rsidRPr="009F00FC" w:rsidRDefault="009C3094" w:rsidP="002B13D9">
            <w:pPr>
              <w:spacing w:line="240" w:lineRule="auto"/>
              <w:ind w:left="36"/>
              <w:rPr>
                <w:rFonts w:ascii="Times New Roman" w:hAnsi="Times New Roman"/>
              </w:rPr>
            </w:pPr>
            <w:r w:rsidRPr="009F00FC">
              <w:rPr>
                <w:rFonts w:ascii="Times New Roman" w:hAnsi="Times New Roman"/>
              </w:rPr>
              <w:t xml:space="preserve">Pani </w:t>
            </w:r>
            <w:r w:rsidR="004D7E46" w:rsidRPr="009F00FC">
              <w:rPr>
                <w:rFonts w:ascii="Times New Roman" w:hAnsi="Times New Roman"/>
              </w:rPr>
              <w:t>Anita Sowińska, Pods</w:t>
            </w:r>
            <w:r w:rsidRPr="009F00FC">
              <w:rPr>
                <w:rFonts w:ascii="Times New Roman" w:hAnsi="Times New Roman"/>
              </w:rPr>
              <w:t>ekretarz Stanu w Ministerstwie Klimatu i Środowiska</w:t>
            </w:r>
          </w:p>
          <w:p w14:paraId="34BCC36E" w14:textId="1A561805" w:rsidR="009C3094" w:rsidRPr="009F00FC" w:rsidRDefault="009C3094" w:rsidP="002B13D9">
            <w:pPr>
              <w:spacing w:line="240" w:lineRule="auto"/>
              <w:ind w:left="36"/>
              <w:rPr>
                <w:rFonts w:ascii="Times New Roman" w:hAnsi="Times New Roman"/>
              </w:rPr>
            </w:pPr>
          </w:p>
          <w:p w14:paraId="7891B41D" w14:textId="77777777" w:rsidR="006A701A" w:rsidRPr="009F00FC" w:rsidRDefault="006A701A" w:rsidP="002B13D9">
            <w:pPr>
              <w:spacing w:line="240" w:lineRule="auto"/>
              <w:ind w:left="36"/>
              <w:rPr>
                <w:rFonts w:ascii="Times New Roman" w:hAnsi="Times New Roman"/>
                <w:b/>
              </w:rPr>
            </w:pPr>
            <w:r w:rsidRPr="009F00FC">
              <w:rPr>
                <w:rFonts w:ascii="Times New Roman" w:hAnsi="Times New Roman"/>
                <w:b/>
              </w:rPr>
              <w:t>Kontakt do opiekuna merytorycznego projektu</w:t>
            </w:r>
          </w:p>
          <w:p w14:paraId="08B7A8A9" w14:textId="7C9B5D79" w:rsidR="00DC1915" w:rsidRPr="009F00FC" w:rsidRDefault="00F86F1C" w:rsidP="002B13D9">
            <w:pPr>
              <w:spacing w:line="240" w:lineRule="auto"/>
              <w:ind w:left="36"/>
              <w:contextualSpacing/>
              <w:rPr>
                <w:rFonts w:ascii="Times New Roman" w:hAnsi="Times New Roman"/>
              </w:rPr>
            </w:pPr>
            <w:r w:rsidRPr="009F00FC">
              <w:rPr>
                <w:rFonts w:ascii="Times New Roman" w:hAnsi="Times New Roman"/>
              </w:rPr>
              <w:t>M</w:t>
            </w:r>
            <w:r w:rsidR="004D7E46" w:rsidRPr="009F00FC">
              <w:rPr>
                <w:rFonts w:ascii="Times New Roman" w:hAnsi="Times New Roman"/>
              </w:rPr>
              <w:t>onika Kosińska</w:t>
            </w:r>
            <w:r w:rsidRPr="009F00FC">
              <w:rPr>
                <w:rFonts w:ascii="Times New Roman" w:hAnsi="Times New Roman"/>
              </w:rPr>
              <w:t>, radca</w:t>
            </w:r>
          </w:p>
          <w:p w14:paraId="08CE1312" w14:textId="642AA2E3" w:rsidR="00DC1915" w:rsidRPr="009F00FC" w:rsidRDefault="00DC1915" w:rsidP="002B13D9">
            <w:pPr>
              <w:spacing w:line="240" w:lineRule="auto"/>
              <w:ind w:left="36"/>
              <w:contextualSpacing/>
              <w:rPr>
                <w:rFonts w:ascii="Times New Roman" w:hAnsi="Times New Roman"/>
              </w:rPr>
            </w:pPr>
            <w:r w:rsidRPr="009F00FC">
              <w:rPr>
                <w:rFonts w:ascii="Times New Roman" w:hAnsi="Times New Roman"/>
              </w:rPr>
              <w:t xml:space="preserve">Departament </w:t>
            </w:r>
            <w:r w:rsidR="004D7E46" w:rsidRPr="009F00FC">
              <w:rPr>
                <w:rFonts w:ascii="Times New Roman" w:hAnsi="Times New Roman"/>
              </w:rPr>
              <w:t>Instrumentów Środowiskowych</w:t>
            </w:r>
          </w:p>
          <w:p w14:paraId="64BE4B70" w14:textId="05D50984" w:rsidR="00DC1915" w:rsidRPr="009F00FC" w:rsidRDefault="004D7E46" w:rsidP="002B13D9">
            <w:pPr>
              <w:spacing w:line="240" w:lineRule="auto"/>
              <w:ind w:left="36"/>
              <w:contextualSpacing/>
              <w:rPr>
                <w:rFonts w:ascii="Times New Roman" w:hAnsi="Times New Roman"/>
              </w:rPr>
            </w:pPr>
            <w:r w:rsidRPr="009F00FC">
              <w:rPr>
                <w:rFonts w:ascii="Times New Roman" w:hAnsi="Times New Roman"/>
              </w:rPr>
              <w:t>monika.kosinska</w:t>
            </w:r>
            <w:r w:rsidR="00F86F1C" w:rsidRPr="009F00FC">
              <w:rPr>
                <w:rFonts w:ascii="Times New Roman" w:hAnsi="Times New Roman"/>
              </w:rPr>
              <w:t>@klimat.gov.pl</w:t>
            </w:r>
            <w:r w:rsidR="00DC1915" w:rsidRPr="009F00FC">
              <w:rPr>
                <w:rFonts w:ascii="Times New Roman" w:hAnsi="Times New Roman"/>
              </w:rPr>
              <w:t xml:space="preserve"> </w:t>
            </w:r>
          </w:p>
          <w:p w14:paraId="736106D7" w14:textId="6C692981" w:rsidR="009C3094" w:rsidRPr="009F00FC" w:rsidRDefault="00DC1915" w:rsidP="00936F7C">
            <w:pPr>
              <w:spacing w:before="120" w:after="120" w:line="240" w:lineRule="auto"/>
              <w:ind w:left="34"/>
              <w:contextualSpacing/>
              <w:jc w:val="both"/>
              <w:rPr>
                <w:rFonts w:ascii="Times New Roman" w:hAnsi="Times New Roman"/>
                <w:lang w:val="en-US"/>
              </w:rPr>
            </w:pPr>
            <w:r w:rsidRPr="009F00FC">
              <w:rPr>
                <w:rFonts w:ascii="Times New Roman" w:hAnsi="Times New Roman"/>
                <w:lang w:val="en-US"/>
              </w:rPr>
              <w:t xml:space="preserve">tel.: (+48 22) </w:t>
            </w:r>
            <w:r w:rsidR="00925668" w:rsidRPr="009F00FC">
              <w:rPr>
                <w:rFonts w:ascii="Times New Roman" w:hAnsi="Times New Roman"/>
                <w:lang w:val="en-US"/>
              </w:rPr>
              <w:t>36 92</w:t>
            </w:r>
            <w:r w:rsidR="009C3094" w:rsidRPr="009F00FC">
              <w:rPr>
                <w:rFonts w:ascii="Times New Roman" w:hAnsi="Times New Roman"/>
                <w:lang w:val="en-US"/>
              </w:rPr>
              <w:t> </w:t>
            </w:r>
            <w:r w:rsidR="00F86F1C" w:rsidRPr="009F00FC">
              <w:rPr>
                <w:rFonts w:ascii="Times New Roman" w:hAnsi="Times New Roman"/>
                <w:lang w:val="en-US"/>
              </w:rPr>
              <w:t>8</w:t>
            </w:r>
            <w:r w:rsidR="004D7E46" w:rsidRPr="009F00FC">
              <w:rPr>
                <w:rFonts w:ascii="Times New Roman" w:hAnsi="Times New Roman"/>
                <w:lang w:val="en-US"/>
              </w:rPr>
              <w:t>7</w:t>
            </w:r>
            <w:r w:rsidR="00936F7C" w:rsidRPr="009F00FC">
              <w:rPr>
                <w:rFonts w:ascii="Times New Roman" w:hAnsi="Times New Roman"/>
                <w:lang w:val="en-US"/>
              </w:rPr>
              <w:t>6</w:t>
            </w:r>
          </w:p>
        </w:tc>
        <w:tc>
          <w:tcPr>
            <w:tcW w:w="4306" w:type="dxa"/>
            <w:gridSpan w:val="2"/>
            <w:shd w:val="clear" w:color="auto" w:fill="FFFFFF"/>
          </w:tcPr>
          <w:p w14:paraId="6C50494F" w14:textId="7AE0C82F" w:rsidR="001B3460" w:rsidRPr="009F00FC" w:rsidRDefault="001B3460" w:rsidP="007A2509">
            <w:pPr>
              <w:spacing w:line="240" w:lineRule="auto"/>
              <w:rPr>
                <w:rFonts w:ascii="Times New Roman" w:hAnsi="Times New Roman"/>
                <w:b/>
              </w:rPr>
            </w:pPr>
            <w:r w:rsidRPr="009F00FC">
              <w:rPr>
                <w:rFonts w:ascii="Times New Roman" w:hAnsi="Times New Roman"/>
                <w:b/>
              </w:rPr>
              <w:t>Data sporządzenia</w:t>
            </w:r>
            <w:r w:rsidRPr="009F00FC">
              <w:rPr>
                <w:rFonts w:ascii="Times New Roman" w:hAnsi="Times New Roman"/>
                <w:b/>
              </w:rPr>
              <w:br/>
            </w:r>
            <w:r w:rsidR="004929A9">
              <w:rPr>
                <w:rFonts w:ascii="Times New Roman" w:hAnsi="Times New Roman"/>
              </w:rPr>
              <w:t>10.03</w:t>
            </w:r>
            <w:r w:rsidR="00D36F33" w:rsidRPr="009F00FC">
              <w:rPr>
                <w:rFonts w:ascii="Times New Roman" w:hAnsi="Times New Roman"/>
              </w:rPr>
              <w:t>.202</w:t>
            </w:r>
            <w:r w:rsidR="00A2619E">
              <w:rPr>
                <w:rFonts w:ascii="Times New Roman" w:hAnsi="Times New Roman"/>
              </w:rPr>
              <w:t>6</w:t>
            </w:r>
            <w:r w:rsidR="00D13DC6" w:rsidRPr="009F00FC">
              <w:rPr>
                <w:rFonts w:ascii="Times New Roman" w:hAnsi="Times New Roman"/>
              </w:rPr>
              <w:t xml:space="preserve"> r.</w:t>
            </w:r>
          </w:p>
          <w:p w14:paraId="5F19486B" w14:textId="6F286998" w:rsidR="00F76884" w:rsidRPr="009F00FC" w:rsidRDefault="003C478B" w:rsidP="007A2509">
            <w:pPr>
              <w:spacing w:line="240" w:lineRule="auto"/>
              <w:jc w:val="both"/>
              <w:rPr>
                <w:rFonts w:ascii="Times New Roman" w:hAnsi="Times New Roman"/>
                <w:b/>
              </w:rPr>
            </w:pPr>
            <w:r>
              <w:rPr>
                <w:rFonts w:ascii="Times New Roman" w:hAnsi="Times New Roman"/>
                <w:b/>
              </w:rPr>
              <w:t xml:space="preserve"> </w:t>
            </w:r>
          </w:p>
          <w:p w14:paraId="67FC204A" w14:textId="6CAD4229" w:rsidR="00F76884" w:rsidRPr="009F00FC" w:rsidRDefault="00F76884" w:rsidP="007A2509">
            <w:pPr>
              <w:spacing w:line="240" w:lineRule="auto"/>
              <w:jc w:val="both"/>
              <w:rPr>
                <w:rFonts w:ascii="Times New Roman" w:hAnsi="Times New Roman"/>
                <w:b/>
              </w:rPr>
            </w:pPr>
            <w:r w:rsidRPr="009F00FC">
              <w:rPr>
                <w:rFonts w:ascii="Times New Roman" w:hAnsi="Times New Roman"/>
                <w:b/>
              </w:rPr>
              <w:t>Źródło:</w:t>
            </w:r>
            <w:bookmarkStart w:id="2" w:name="Lista1"/>
          </w:p>
          <w:bookmarkEnd w:id="2"/>
          <w:p w14:paraId="16F8A1A2" w14:textId="77777777" w:rsidR="00AB4393" w:rsidRPr="009F00FC" w:rsidRDefault="00AB4393" w:rsidP="00B07E56">
            <w:pPr>
              <w:spacing w:line="240" w:lineRule="auto"/>
              <w:jc w:val="both"/>
              <w:rPr>
                <w:rFonts w:ascii="Times New Roman" w:hAnsi="Times New Roman"/>
                <w:iCs/>
              </w:rPr>
            </w:pPr>
          </w:p>
          <w:p w14:paraId="629266E8" w14:textId="1BB56AC1" w:rsidR="00BC31F7" w:rsidRPr="009F00FC" w:rsidRDefault="00BC31F7" w:rsidP="00936F7C">
            <w:pPr>
              <w:spacing w:after="120" w:line="240" w:lineRule="auto"/>
              <w:rPr>
                <w:rFonts w:ascii="Times New Roman" w:hAnsi="Times New Roman"/>
                <w:u w:val="single"/>
              </w:rPr>
            </w:pPr>
            <w:r w:rsidRPr="009F00FC">
              <w:rPr>
                <w:rFonts w:ascii="Times New Roman" w:hAnsi="Times New Roman"/>
                <w:u w:val="single"/>
              </w:rPr>
              <w:t xml:space="preserve">Transpozycja dyrektywy delegowanej </w:t>
            </w:r>
            <w:r w:rsidR="00936F7C" w:rsidRPr="009F00FC">
              <w:rPr>
                <w:rFonts w:ascii="Times New Roman" w:hAnsi="Times New Roman"/>
                <w:u w:val="single"/>
              </w:rPr>
              <w:t>K</w:t>
            </w:r>
            <w:r w:rsidRPr="009F00FC">
              <w:rPr>
                <w:rFonts w:ascii="Times New Roman" w:hAnsi="Times New Roman"/>
                <w:u w:val="single"/>
              </w:rPr>
              <w:t>omisji Europejskiej 2024/</w:t>
            </w:r>
            <w:r w:rsidR="004D7E46" w:rsidRPr="009F00FC">
              <w:rPr>
                <w:rFonts w:ascii="Times New Roman" w:hAnsi="Times New Roman"/>
                <w:u w:val="single"/>
              </w:rPr>
              <w:t>1785</w:t>
            </w:r>
          </w:p>
          <w:p w14:paraId="22102527" w14:textId="6D630896" w:rsidR="00251DB8" w:rsidRPr="009F00FC" w:rsidRDefault="00251DB8" w:rsidP="00936F7C">
            <w:pPr>
              <w:spacing w:after="120" w:line="240" w:lineRule="auto"/>
              <w:rPr>
                <w:rFonts w:ascii="Times New Roman" w:hAnsi="Times New Roman"/>
                <w:u w:val="single"/>
              </w:rPr>
            </w:pPr>
            <w:r w:rsidRPr="009F00FC">
              <w:rPr>
                <w:rFonts w:ascii="Times New Roman" w:hAnsi="Times New Roman"/>
                <w:u w:val="single"/>
              </w:rPr>
              <w:t xml:space="preserve">Naruszenie </w:t>
            </w:r>
            <w:r w:rsidR="00936F7C" w:rsidRPr="009F00FC">
              <w:rPr>
                <w:rFonts w:ascii="Times New Roman" w:hAnsi="Times New Roman"/>
                <w:u w:val="single"/>
              </w:rPr>
              <w:t>nr 2023/2173 (zarzuty formalne)</w:t>
            </w:r>
          </w:p>
          <w:p w14:paraId="1B8DC231" w14:textId="77777777" w:rsidR="00F76884" w:rsidRPr="009F00FC" w:rsidRDefault="00F76884" w:rsidP="007A2509">
            <w:pPr>
              <w:spacing w:line="240" w:lineRule="auto"/>
              <w:jc w:val="both"/>
              <w:rPr>
                <w:rFonts w:ascii="Times New Roman" w:hAnsi="Times New Roman"/>
              </w:rPr>
            </w:pPr>
          </w:p>
          <w:p w14:paraId="7623A875" w14:textId="77777777" w:rsidR="006A701A" w:rsidRPr="009F00FC" w:rsidRDefault="006A701A" w:rsidP="007A2509">
            <w:pPr>
              <w:spacing w:line="240" w:lineRule="auto"/>
              <w:jc w:val="both"/>
              <w:rPr>
                <w:rFonts w:ascii="Times New Roman" w:hAnsi="Times New Roman"/>
                <w:b/>
              </w:rPr>
            </w:pPr>
            <w:r w:rsidRPr="009F00FC">
              <w:rPr>
                <w:rFonts w:ascii="Times New Roman" w:hAnsi="Times New Roman"/>
                <w:b/>
              </w:rPr>
              <w:t xml:space="preserve">Nr </w:t>
            </w:r>
            <w:r w:rsidR="0057668E" w:rsidRPr="009F00FC">
              <w:rPr>
                <w:rFonts w:ascii="Times New Roman" w:hAnsi="Times New Roman"/>
                <w:b/>
              </w:rPr>
              <w:t>w</w:t>
            </w:r>
            <w:r w:rsidRPr="009F00FC">
              <w:rPr>
                <w:rFonts w:ascii="Times New Roman" w:hAnsi="Times New Roman"/>
                <w:b/>
              </w:rPr>
              <w:t xml:space="preserve"> wykaz</w:t>
            </w:r>
            <w:r w:rsidR="0057668E" w:rsidRPr="009F00FC">
              <w:rPr>
                <w:rFonts w:ascii="Times New Roman" w:hAnsi="Times New Roman"/>
                <w:b/>
              </w:rPr>
              <w:t>ie</w:t>
            </w:r>
            <w:r w:rsidRPr="009F00FC">
              <w:rPr>
                <w:rFonts w:ascii="Times New Roman" w:hAnsi="Times New Roman"/>
                <w:b/>
              </w:rPr>
              <w:t xml:space="preserve"> prac </w:t>
            </w:r>
          </w:p>
          <w:p w14:paraId="51029341" w14:textId="554714AA" w:rsidR="00875EAE" w:rsidRPr="009F00FC" w:rsidRDefault="00875EAE" w:rsidP="007A2509">
            <w:pPr>
              <w:spacing w:line="240" w:lineRule="auto"/>
              <w:jc w:val="both"/>
              <w:rPr>
                <w:rFonts w:ascii="Times New Roman" w:hAnsi="Times New Roman"/>
              </w:rPr>
            </w:pPr>
            <w:r>
              <w:rPr>
                <w:rFonts w:ascii="Times New Roman" w:hAnsi="Times New Roman"/>
              </w:rPr>
              <w:t>UC99</w:t>
            </w:r>
            <w:r w:rsidR="00443477">
              <w:rPr>
                <w:rFonts w:ascii="Times New Roman" w:hAnsi="Times New Roman"/>
              </w:rPr>
              <w:t xml:space="preserve"> </w:t>
            </w:r>
          </w:p>
        </w:tc>
      </w:tr>
      <w:tr w:rsidR="009F00FC" w:rsidRPr="009F00FC" w14:paraId="0BDF87EC" w14:textId="77777777" w:rsidTr="00515165">
        <w:trPr>
          <w:trHeight w:val="142"/>
        </w:trPr>
        <w:tc>
          <w:tcPr>
            <w:tcW w:w="10937" w:type="dxa"/>
            <w:gridSpan w:val="5"/>
            <w:shd w:val="clear" w:color="auto" w:fill="99CCFF"/>
          </w:tcPr>
          <w:p w14:paraId="7B15BC23" w14:textId="77777777" w:rsidR="006A701A" w:rsidRPr="009F00FC" w:rsidRDefault="006A701A" w:rsidP="007A2509">
            <w:pPr>
              <w:spacing w:line="240" w:lineRule="auto"/>
              <w:ind w:left="57"/>
              <w:jc w:val="center"/>
              <w:rPr>
                <w:rFonts w:ascii="Times New Roman" w:hAnsi="Times New Roman"/>
                <w:b/>
                <w:sz w:val="32"/>
                <w:szCs w:val="32"/>
              </w:rPr>
            </w:pPr>
            <w:r w:rsidRPr="009F00FC">
              <w:rPr>
                <w:rFonts w:ascii="Times New Roman" w:hAnsi="Times New Roman"/>
                <w:b/>
                <w:sz w:val="32"/>
                <w:szCs w:val="32"/>
              </w:rPr>
              <w:t>OCENA SKUTKÓW REGULACJI</w:t>
            </w:r>
          </w:p>
        </w:tc>
      </w:tr>
      <w:tr w:rsidR="009F00FC" w:rsidRPr="009F00FC" w14:paraId="333F72A1" w14:textId="77777777" w:rsidTr="00515165">
        <w:trPr>
          <w:trHeight w:val="333"/>
        </w:trPr>
        <w:tc>
          <w:tcPr>
            <w:tcW w:w="10937" w:type="dxa"/>
            <w:gridSpan w:val="5"/>
            <w:shd w:val="clear" w:color="auto" w:fill="99CCFF"/>
            <w:vAlign w:val="center"/>
          </w:tcPr>
          <w:p w14:paraId="196E304B" w14:textId="77777777" w:rsidR="006A701A" w:rsidRPr="009F00FC" w:rsidRDefault="003D12F6" w:rsidP="00851A61">
            <w:pPr>
              <w:numPr>
                <w:ilvl w:val="0"/>
                <w:numId w:val="1"/>
              </w:numPr>
              <w:spacing w:line="240" w:lineRule="auto"/>
              <w:ind w:left="318" w:hanging="284"/>
              <w:jc w:val="both"/>
              <w:rPr>
                <w:rFonts w:ascii="Times New Roman" w:hAnsi="Times New Roman"/>
                <w:b/>
              </w:rPr>
            </w:pPr>
            <w:r w:rsidRPr="009F00FC">
              <w:rPr>
                <w:rFonts w:ascii="Times New Roman" w:hAnsi="Times New Roman"/>
                <w:b/>
              </w:rPr>
              <w:t xml:space="preserve">Jaki problem jest </w:t>
            </w:r>
            <w:r w:rsidR="00CC6305" w:rsidRPr="009F00FC">
              <w:rPr>
                <w:rFonts w:ascii="Times New Roman" w:hAnsi="Times New Roman"/>
                <w:b/>
              </w:rPr>
              <w:t>rozwiązywany?</w:t>
            </w:r>
            <w:bookmarkStart w:id="3" w:name="Wybór1"/>
            <w:bookmarkEnd w:id="3"/>
          </w:p>
        </w:tc>
      </w:tr>
      <w:tr w:rsidR="009F00FC" w:rsidRPr="009F00FC" w14:paraId="28001448" w14:textId="77777777" w:rsidTr="00515165">
        <w:trPr>
          <w:trHeight w:val="142"/>
        </w:trPr>
        <w:tc>
          <w:tcPr>
            <w:tcW w:w="10937" w:type="dxa"/>
            <w:gridSpan w:val="5"/>
            <w:shd w:val="clear" w:color="auto" w:fill="FFFFFF"/>
          </w:tcPr>
          <w:p w14:paraId="48FB5D24" w14:textId="6E31109B" w:rsidR="002B13D9" w:rsidRDefault="00A3472E" w:rsidP="002B13D9">
            <w:pPr>
              <w:tabs>
                <w:tab w:val="left" w:pos="320"/>
              </w:tabs>
              <w:spacing w:before="120" w:after="120" w:line="240" w:lineRule="auto"/>
              <w:jc w:val="both"/>
              <w:rPr>
                <w:rFonts w:ascii="Times New Roman" w:hAnsi="Times New Roman"/>
              </w:rPr>
            </w:pPr>
            <w:bookmarkStart w:id="4" w:name="_Hlk157673922"/>
            <w:r w:rsidRPr="009F00FC">
              <w:rPr>
                <w:rFonts w:ascii="Times New Roman" w:hAnsi="Times New Roman"/>
              </w:rPr>
              <w:t xml:space="preserve">Inicjatywa ta </w:t>
            </w:r>
            <w:r w:rsidR="005F668C" w:rsidRPr="009F00FC">
              <w:rPr>
                <w:rFonts w:ascii="Times New Roman" w:hAnsi="Times New Roman"/>
              </w:rPr>
              <w:t xml:space="preserve">ma na celu </w:t>
            </w:r>
            <w:r w:rsidR="00D2205F" w:rsidRPr="009F00FC">
              <w:rPr>
                <w:rFonts w:ascii="Times New Roman" w:hAnsi="Times New Roman"/>
              </w:rPr>
              <w:t>usprawnienie funkcjonujących obecnie przepisów dotyczących emisji przemysłowych. Ewaluacja dyrektywy 2010/75/UE w</w:t>
            </w:r>
            <w:r w:rsidR="00586834" w:rsidRPr="009F00FC">
              <w:rPr>
                <w:rFonts w:ascii="Times New Roman" w:hAnsi="Times New Roman"/>
              </w:rPr>
              <w:t xml:space="preserve"> </w:t>
            </w:r>
            <w:r w:rsidR="00D2205F" w:rsidRPr="009F00FC">
              <w:rPr>
                <w:rFonts w:ascii="Times New Roman" w:hAnsi="Times New Roman"/>
              </w:rPr>
              <w:t>s</w:t>
            </w:r>
            <w:r w:rsidR="00586834" w:rsidRPr="009F00FC">
              <w:rPr>
                <w:rFonts w:ascii="Times New Roman" w:hAnsi="Times New Roman"/>
              </w:rPr>
              <w:t>prawie</w:t>
            </w:r>
            <w:r w:rsidR="00D2205F" w:rsidRPr="009F00FC">
              <w:rPr>
                <w:rFonts w:ascii="Times New Roman" w:hAnsi="Times New Roman"/>
              </w:rPr>
              <w:t xml:space="preserve"> emisji przemysłowych (IED) wskazała na kilka obszarów gdzie dotychczasowe regulacje prawne są nieefektywne, zbyt skomplikowane lub w sposób niewystarczający odnoszą się do zagadnień istotnych dla eliminacji lub dalszego ograniczania szeroko rozumianych presji środowiskowych związanych z eksploatacją instalacji przemysłowych. </w:t>
            </w:r>
          </w:p>
          <w:p w14:paraId="3248A528" w14:textId="7EFCF2CB" w:rsidR="00D2205F" w:rsidRPr="009F00FC" w:rsidRDefault="00D2205F" w:rsidP="002B13D9">
            <w:pPr>
              <w:tabs>
                <w:tab w:val="left" w:pos="320"/>
              </w:tabs>
              <w:spacing w:after="120" w:line="240" w:lineRule="auto"/>
              <w:jc w:val="both"/>
              <w:rPr>
                <w:rFonts w:ascii="Times New Roman" w:hAnsi="Times New Roman"/>
                <w:bCs/>
              </w:rPr>
            </w:pPr>
            <w:r w:rsidRPr="009F00FC">
              <w:rPr>
                <w:rFonts w:ascii="Times New Roman" w:hAnsi="Times New Roman"/>
              </w:rPr>
              <w:t xml:space="preserve">W efekcie opublikowana została </w:t>
            </w:r>
            <w:bookmarkStart w:id="5" w:name="_Hlk188347995"/>
            <w:r w:rsidRPr="009F00FC">
              <w:rPr>
                <w:rFonts w:ascii="Times New Roman" w:hAnsi="Times New Roman"/>
              </w:rPr>
              <w:t xml:space="preserve">dyrektywa </w:t>
            </w:r>
            <w:r w:rsidRPr="009F00FC">
              <w:rPr>
                <w:rFonts w:ascii="Times New Roman" w:hAnsi="Times New Roman"/>
                <w:bCs/>
              </w:rPr>
              <w:t>2024/1785 z dnia 24 kwietnia 2024 r. dotycząca zmiany dyrektywy</w:t>
            </w:r>
            <w:r w:rsidR="001A0722" w:rsidRPr="009F00FC">
              <w:rPr>
                <w:rFonts w:ascii="Times New Roman" w:hAnsi="Times New Roman"/>
                <w:bCs/>
              </w:rPr>
              <w:t xml:space="preserve"> </w:t>
            </w:r>
            <w:r w:rsidRPr="009F00FC">
              <w:rPr>
                <w:rFonts w:ascii="Times New Roman" w:hAnsi="Times New Roman"/>
                <w:bCs/>
              </w:rPr>
              <w:t xml:space="preserve">2010/75/UE w sprawie emisji przemysłowych i dyrektywy Rady 1999/31/WE w sprawie składowania odpadów (Dz. U. L 1785 z 15.07.2024 s.1). W ślad za zmianami w przepisach UE konieczne jest odpowiednie dostosowanie regulacji krajowych koncentrujących się przede wszystkim wokół ustawy </w:t>
            </w:r>
            <w:r w:rsidR="00107398">
              <w:rPr>
                <w:rFonts w:ascii="Times New Roman" w:hAnsi="Times New Roman"/>
                <w:bCs/>
              </w:rPr>
              <w:t xml:space="preserve">- </w:t>
            </w:r>
            <w:r w:rsidRPr="009F00FC">
              <w:rPr>
                <w:rFonts w:ascii="Times New Roman" w:hAnsi="Times New Roman"/>
                <w:bCs/>
              </w:rPr>
              <w:t>Prawo ochrony środowiska ale obejmujących także inn</w:t>
            </w:r>
            <w:r w:rsidR="002D2A8F">
              <w:rPr>
                <w:rFonts w:ascii="Times New Roman" w:hAnsi="Times New Roman"/>
                <w:bCs/>
              </w:rPr>
              <w:t>e</w:t>
            </w:r>
            <w:r w:rsidRPr="009F00FC">
              <w:rPr>
                <w:rFonts w:ascii="Times New Roman" w:hAnsi="Times New Roman"/>
                <w:bCs/>
              </w:rPr>
              <w:t xml:space="preserve"> akt</w:t>
            </w:r>
            <w:r w:rsidR="002D2A8F">
              <w:rPr>
                <w:rFonts w:ascii="Times New Roman" w:hAnsi="Times New Roman"/>
                <w:bCs/>
              </w:rPr>
              <w:t>y</w:t>
            </w:r>
            <w:r w:rsidRPr="009F00FC">
              <w:rPr>
                <w:rFonts w:ascii="Times New Roman" w:hAnsi="Times New Roman"/>
                <w:bCs/>
              </w:rPr>
              <w:t xml:space="preserve"> prawn</w:t>
            </w:r>
            <w:r w:rsidR="002D2A8F">
              <w:rPr>
                <w:rFonts w:ascii="Times New Roman" w:hAnsi="Times New Roman"/>
                <w:bCs/>
              </w:rPr>
              <w:t>e</w:t>
            </w:r>
            <w:r w:rsidRPr="009F00FC">
              <w:rPr>
                <w:rFonts w:ascii="Times New Roman" w:hAnsi="Times New Roman"/>
                <w:bCs/>
              </w:rPr>
              <w:t xml:space="preserve">. </w:t>
            </w:r>
          </w:p>
          <w:bookmarkEnd w:id="5"/>
          <w:p w14:paraId="3D5C8AAD" w14:textId="27BFF3A0" w:rsidR="00D2205F" w:rsidRPr="009F00FC" w:rsidRDefault="00D2205F" w:rsidP="002B13D9">
            <w:pPr>
              <w:tabs>
                <w:tab w:val="left" w:pos="320"/>
              </w:tabs>
              <w:spacing w:after="120" w:line="240" w:lineRule="auto"/>
              <w:ind w:left="34"/>
              <w:jc w:val="both"/>
              <w:rPr>
                <w:rFonts w:ascii="Times New Roman" w:hAnsi="Times New Roman"/>
              </w:rPr>
            </w:pPr>
            <w:r w:rsidRPr="009F00FC">
              <w:rPr>
                <w:rFonts w:ascii="Times New Roman" w:hAnsi="Times New Roman"/>
                <w:bCs/>
              </w:rPr>
              <w:t>Nowelizacja przepisów obok dalszego ograniczania emisji, ma przede wszystkim poprawić spójność obowiązujących wymagań z zakresu ochrony środowiska, zwiększyć odporność na trudne do przewidzenia kryzysy</w:t>
            </w:r>
            <w:r w:rsidR="001A0722" w:rsidRPr="009F00FC">
              <w:rPr>
                <w:rFonts w:ascii="Times New Roman" w:hAnsi="Times New Roman"/>
                <w:bCs/>
              </w:rPr>
              <w:t>,</w:t>
            </w:r>
            <w:r w:rsidRPr="009F00FC">
              <w:rPr>
                <w:rFonts w:ascii="Times New Roman" w:hAnsi="Times New Roman"/>
                <w:bCs/>
              </w:rPr>
              <w:t xml:space="preserve"> jak również </w:t>
            </w:r>
            <w:r w:rsidRPr="009F00FC">
              <w:rPr>
                <w:rFonts w:ascii="Times New Roman" w:hAnsi="Times New Roman"/>
              </w:rPr>
              <w:t>ustanowić bardziej przyszłościowe i elastyczne ramy wspierające innowacje oraz transformacj</w:t>
            </w:r>
            <w:r w:rsidR="00107398">
              <w:rPr>
                <w:rFonts w:ascii="Times New Roman" w:hAnsi="Times New Roman"/>
              </w:rPr>
              <w:t>ę</w:t>
            </w:r>
            <w:r w:rsidRPr="009F00FC">
              <w:rPr>
                <w:rFonts w:ascii="Times New Roman" w:hAnsi="Times New Roman"/>
              </w:rPr>
              <w:t xml:space="preserve"> przemysłu w kierunku zrównoważonej, cyrkularnej i neutralnej klimatycznie gospodarki</w:t>
            </w:r>
            <w:r w:rsidR="001A0722" w:rsidRPr="009F00FC">
              <w:rPr>
                <w:rFonts w:ascii="Times New Roman" w:hAnsi="Times New Roman"/>
              </w:rPr>
              <w:t>.</w:t>
            </w:r>
          </w:p>
          <w:p w14:paraId="144EADEE" w14:textId="28312922" w:rsidR="00A3472E" w:rsidRPr="009F00FC" w:rsidRDefault="00D2205F" w:rsidP="002B13D9">
            <w:pPr>
              <w:tabs>
                <w:tab w:val="left" w:pos="320"/>
              </w:tabs>
              <w:spacing w:after="120" w:line="240" w:lineRule="auto"/>
              <w:ind w:left="34"/>
              <w:jc w:val="both"/>
              <w:rPr>
                <w:rFonts w:ascii="Times New Roman" w:hAnsi="Times New Roman"/>
              </w:rPr>
            </w:pPr>
            <w:r w:rsidRPr="009F00FC">
              <w:rPr>
                <w:rFonts w:ascii="Times New Roman" w:hAnsi="Times New Roman"/>
              </w:rPr>
              <w:t>Zidentyfikowane problemy odnoszą się do następujących kwestii</w:t>
            </w:r>
            <w:r w:rsidR="00BA1BA0" w:rsidRPr="009F00FC">
              <w:rPr>
                <w:rFonts w:ascii="Times New Roman" w:hAnsi="Times New Roman"/>
              </w:rPr>
              <w:t xml:space="preserve"> ogólnych</w:t>
            </w:r>
            <w:r w:rsidR="00A3472E" w:rsidRPr="009F00FC">
              <w:rPr>
                <w:rFonts w:ascii="Times New Roman" w:hAnsi="Times New Roman"/>
              </w:rPr>
              <w:t>:</w:t>
            </w:r>
          </w:p>
          <w:p w14:paraId="29734121" w14:textId="1B8B2CE3" w:rsidR="00A3472E" w:rsidRPr="009F00FC" w:rsidRDefault="00A3472E" w:rsidP="002B13D9">
            <w:pPr>
              <w:numPr>
                <w:ilvl w:val="0"/>
                <w:numId w:val="26"/>
              </w:numPr>
              <w:tabs>
                <w:tab w:val="left" w:pos="346"/>
              </w:tabs>
              <w:spacing w:after="120" w:line="240" w:lineRule="auto"/>
              <w:ind w:left="346" w:hanging="346"/>
              <w:jc w:val="both"/>
              <w:rPr>
                <w:rFonts w:ascii="Times New Roman" w:hAnsi="Times New Roman"/>
              </w:rPr>
            </w:pPr>
            <w:r w:rsidRPr="009F00FC">
              <w:rPr>
                <w:rFonts w:ascii="Times New Roman" w:hAnsi="Times New Roman"/>
                <w:b/>
              </w:rPr>
              <w:t>skuteczność:</w:t>
            </w:r>
            <w:r w:rsidRPr="009F00FC">
              <w:rPr>
                <w:rFonts w:ascii="Times New Roman" w:hAnsi="Times New Roman"/>
              </w:rPr>
              <w:t xml:space="preserve"> </w:t>
            </w:r>
            <w:r w:rsidR="000916E9" w:rsidRPr="009F00FC">
              <w:rPr>
                <w:rFonts w:ascii="Times New Roman" w:hAnsi="Times New Roman"/>
              </w:rPr>
              <w:t>sposób określania</w:t>
            </w:r>
            <w:r w:rsidRPr="009F00FC">
              <w:rPr>
                <w:rFonts w:ascii="Times New Roman" w:hAnsi="Times New Roman"/>
              </w:rPr>
              <w:t xml:space="preserve"> wielkości </w:t>
            </w:r>
            <w:r w:rsidR="000916E9" w:rsidRPr="009F00FC">
              <w:rPr>
                <w:rFonts w:ascii="Times New Roman" w:hAnsi="Times New Roman"/>
              </w:rPr>
              <w:t xml:space="preserve">dopuszczalnej </w:t>
            </w:r>
            <w:r w:rsidRPr="009F00FC">
              <w:rPr>
                <w:rFonts w:ascii="Times New Roman" w:hAnsi="Times New Roman"/>
              </w:rPr>
              <w:t xml:space="preserve">emisji </w:t>
            </w:r>
            <w:r w:rsidR="000916E9" w:rsidRPr="009F00FC">
              <w:rPr>
                <w:rFonts w:ascii="Times New Roman" w:hAnsi="Times New Roman"/>
              </w:rPr>
              <w:t xml:space="preserve">w niepełnym zakresie </w:t>
            </w:r>
            <w:r w:rsidRPr="009F00FC">
              <w:rPr>
                <w:rFonts w:ascii="Times New Roman" w:hAnsi="Times New Roman"/>
              </w:rPr>
              <w:t xml:space="preserve">przyczynia się do skutecznego wykorzystania potencjału BAT w zakresie redukcji emisji; </w:t>
            </w:r>
            <w:r w:rsidR="000916E9" w:rsidRPr="009F00FC">
              <w:rPr>
                <w:rFonts w:ascii="Times New Roman" w:hAnsi="Times New Roman"/>
              </w:rPr>
              <w:t>wymagania określane w pozwoleniach są niejednorodne i niekiedy mało ambitne</w:t>
            </w:r>
            <w:r w:rsidRPr="009F00FC">
              <w:rPr>
                <w:rFonts w:ascii="Times New Roman" w:hAnsi="Times New Roman"/>
              </w:rPr>
              <w:t xml:space="preserve">; </w:t>
            </w:r>
          </w:p>
          <w:p w14:paraId="67B797D1" w14:textId="1F6B06D6" w:rsidR="00AF1022" w:rsidRPr="009F00FC" w:rsidRDefault="00AF1022" w:rsidP="002B13D9">
            <w:pPr>
              <w:numPr>
                <w:ilvl w:val="0"/>
                <w:numId w:val="26"/>
              </w:numPr>
              <w:tabs>
                <w:tab w:val="left" w:pos="346"/>
              </w:tabs>
              <w:spacing w:after="120" w:line="240" w:lineRule="auto"/>
              <w:ind w:left="346" w:hanging="346"/>
              <w:jc w:val="both"/>
              <w:rPr>
                <w:rFonts w:ascii="Times New Roman" w:hAnsi="Times New Roman"/>
              </w:rPr>
            </w:pPr>
            <w:r w:rsidRPr="009F00FC">
              <w:rPr>
                <w:rFonts w:ascii="Times New Roman" w:hAnsi="Times New Roman"/>
                <w:b/>
              </w:rPr>
              <w:t>uproszczenie procedur:</w:t>
            </w:r>
            <w:r w:rsidRPr="009F00FC">
              <w:rPr>
                <w:rFonts w:ascii="Times New Roman" w:hAnsi="Times New Roman"/>
              </w:rPr>
              <w:t xml:space="preserve"> obowiązujące regulacje są w niektórych aspektach nad wyraz skomplikowane i mało efektywne </w:t>
            </w:r>
            <w:r w:rsidR="00763D7C" w:rsidRPr="009F00FC">
              <w:rPr>
                <w:rFonts w:ascii="Times New Roman" w:hAnsi="Times New Roman"/>
              </w:rPr>
              <w:t>powodując znaczne obciążenia zarówno na prowadzących instalacje</w:t>
            </w:r>
            <w:r w:rsidR="001A0722" w:rsidRPr="009F00FC">
              <w:rPr>
                <w:rFonts w:ascii="Times New Roman" w:hAnsi="Times New Roman"/>
              </w:rPr>
              <w:t>,</w:t>
            </w:r>
            <w:r w:rsidR="00763D7C" w:rsidRPr="009F00FC">
              <w:rPr>
                <w:rFonts w:ascii="Times New Roman" w:hAnsi="Times New Roman"/>
              </w:rPr>
              <w:t xml:space="preserve"> jak i organów administracji nie mając przy tym wymiernego przełożenia na korzyści dla środowiska</w:t>
            </w:r>
            <w:r w:rsidR="001A0722" w:rsidRPr="009F00FC">
              <w:rPr>
                <w:rFonts w:ascii="Times New Roman" w:hAnsi="Times New Roman"/>
              </w:rPr>
              <w:t>;</w:t>
            </w:r>
          </w:p>
          <w:p w14:paraId="45965545" w14:textId="50AFBD29" w:rsidR="00A3472E" w:rsidRPr="009F00FC" w:rsidRDefault="00A3472E" w:rsidP="002B13D9">
            <w:pPr>
              <w:numPr>
                <w:ilvl w:val="0"/>
                <w:numId w:val="26"/>
              </w:numPr>
              <w:tabs>
                <w:tab w:val="left" w:pos="346"/>
                <w:tab w:val="left" w:pos="7658"/>
              </w:tabs>
              <w:spacing w:after="120" w:line="240" w:lineRule="auto"/>
              <w:ind w:left="346" w:hanging="346"/>
              <w:jc w:val="both"/>
              <w:rPr>
                <w:rFonts w:ascii="Times New Roman" w:hAnsi="Times New Roman"/>
                <w:b/>
              </w:rPr>
            </w:pPr>
            <w:r w:rsidRPr="009F00FC">
              <w:rPr>
                <w:rFonts w:ascii="Times New Roman" w:hAnsi="Times New Roman"/>
                <w:b/>
              </w:rPr>
              <w:t>innowacje:</w:t>
            </w:r>
            <w:r w:rsidRPr="009F00FC">
              <w:rPr>
                <w:rFonts w:ascii="Times New Roman" w:hAnsi="Times New Roman"/>
              </w:rPr>
              <w:t xml:space="preserve"> </w:t>
            </w:r>
            <w:r w:rsidR="00BB7ACB" w:rsidRPr="009F00FC">
              <w:rPr>
                <w:rFonts w:ascii="Times New Roman" w:hAnsi="Times New Roman"/>
              </w:rPr>
              <w:t>dotychczasowe podejście do określania wymagań BAT nie sprzyja wdrażaniu innowacji w przemyśle</w:t>
            </w:r>
            <w:r w:rsidR="001A0722" w:rsidRPr="009F00FC">
              <w:rPr>
                <w:rFonts w:ascii="Times New Roman" w:hAnsi="Times New Roman"/>
              </w:rPr>
              <w:t xml:space="preserve">, </w:t>
            </w:r>
            <w:r w:rsidR="00BB7ACB" w:rsidRPr="009F00FC">
              <w:rPr>
                <w:rFonts w:ascii="Times New Roman" w:hAnsi="Times New Roman"/>
              </w:rPr>
              <w:t>jak również nie motywuje prowadzących instalacje do transformacji w kierunku zeroemisyjnej i neutralnej klimatycznie gospodarki</w:t>
            </w:r>
            <w:r w:rsidR="001A0722" w:rsidRPr="009F00FC">
              <w:rPr>
                <w:rFonts w:ascii="Times New Roman" w:hAnsi="Times New Roman"/>
              </w:rPr>
              <w:t>;</w:t>
            </w:r>
            <w:r w:rsidR="00BB7ACB" w:rsidRPr="009F00FC">
              <w:rPr>
                <w:rFonts w:ascii="Times New Roman" w:hAnsi="Times New Roman"/>
              </w:rPr>
              <w:t xml:space="preserve"> </w:t>
            </w:r>
          </w:p>
          <w:p w14:paraId="592DD6D0" w14:textId="23F20127" w:rsidR="00BB7ACB" w:rsidRPr="009F00FC" w:rsidRDefault="00A3472E" w:rsidP="002B13D9">
            <w:pPr>
              <w:numPr>
                <w:ilvl w:val="0"/>
                <w:numId w:val="26"/>
              </w:numPr>
              <w:tabs>
                <w:tab w:val="left" w:pos="346"/>
              </w:tabs>
              <w:spacing w:after="120" w:line="240" w:lineRule="auto"/>
              <w:ind w:left="346" w:hanging="346"/>
              <w:jc w:val="both"/>
              <w:rPr>
                <w:rFonts w:ascii="Times New Roman" w:hAnsi="Times New Roman"/>
              </w:rPr>
            </w:pPr>
            <w:r w:rsidRPr="009F00FC">
              <w:rPr>
                <w:rFonts w:ascii="Times New Roman" w:hAnsi="Times New Roman"/>
                <w:b/>
              </w:rPr>
              <w:t xml:space="preserve">zużycie zasobów i chemikalia: </w:t>
            </w:r>
            <w:r w:rsidR="00CD53C2" w:rsidRPr="009F00FC">
              <w:rPr>
                <w:rFonts w:ascii="Times New Roman" w:hAnsi="Times New Roman"/>
                <w:bCs/>
              </w:rPr>
              <w:t xml:space="preserve">obowiązujące </w:t>
            </w:r>
            <w:r w:rsidR="00CD53C2" w:rsidRPr="009F00FC">
              <w:rPr>
                <w:rFonts w:ascii="Times New Roman" w:hAnsi="Times New Roman"/>
              </w:rPr>
              <w:t xml:space="preserve">regulacje tylko w ograniczonym stopniu </w:t>
            </w:r>
            <w:r w:rsidRPr="009F00FC">
              <w:rPr>
                <w:rFonts w:ascii="Times New Roman" w:hAnsi="Times New Roman"/>
              </w:rPr>
              <w:t>wsp</w:t>
            </w:r>
            <w:r w:rsidR="00586834" w:rsidRPr="009F00FC">
              <w:rPr>
                <w:rFonts w:ascii="Times New Roman" w:hAnsi="Times New Roman"/>
              </w:rPr>
              <w:t>ierają</w:t>
            </w:r>
            <w:r w:rsidRPr="009F00FC">
              <w:rPr>
                <w:rFonts w:ascii="Times New Roman" w:hAnsi="Times New Roman"/>
              </w:rPr>
              <w:t xml:space="preserve"> </w:t>
            </w:r>
            <w:r w:rsidR="00CD53C2" w:rsidRPr="009F00FC">
              <w:rPr>
                <w:rFonts w:ascii="Times New Roman" w:hAnsi="Times New Roman"/>
                <w:bCs/>
              </w:rPr>
              <w:t>stosowanie w przemyśle</w:t>
            </w:r>
            <w:r w:rsidR="00CD53C2" w:rsidRPr="009F00FC">
              <w:rPr>
                <w:rFonts w:ascii="Times New Roman" w:hAnsi="Times New Roman"/>
                <w:b/>
              </w:rPr>
              <w:t xml:space="preserve"> </w:t>
            </w:r>
            <w:r w:rsidRPr="009F00FC">
              <w:rPr>
                <w:rFonts w:ascii="Times New Roman" w:hAnsi="Times New Roman"/>
              </w:rPr>
              <w:t>gospodark</w:t>
            </w:r>
            <w:r w:rsidR="001A0722" w:rsidRPr="009F00FC">
              <w:rPr>
                <w:rFonts w:ascii="Times New Roman" w:hAnsi="Times New Roman"/>
              </w:rPr>
              <w:t>i</w:t>
            </w:r>
            <w:r w:rsidRPr="009F00FC">
              <w:rPr>
                <w:rFonts w:ascii="Times New Roman" w:hAnsi="Times New Roman"/>
              </w:rPr>
              <w:t xml:space="preserve"> </w:t>
            </w:r>
            <w:r w:rsidR="00CD53C2" w:rsidRPr="009F00FC">
              <w:rPr>
                <w:rFonts w:ascii="Times New Roman" w:hAnsi="Times New Roman"/>
              </w:rPr>
              <w:t>w</w:t>
            </w:r>
            <w:r w:rsidRPr="009F00FC">
              <w:rPr>
                <w:rFonts w:ascii="Times New Roman" w:hAnsi="Times New Roman"/>
              </w:rPr>
              <w:t> obiegu zamkniętym</w:t>
            </w:r>
            <w:r w:rsidR="00CD53C2" w:rsidRPr="009F00FC">
              <w:rPr>
                <w:rFonts w:ascii="Times New Roman" w:hAnsi="Times New Roman"/>
              </w:rPr>
              <w:t xml:space="preserve"> oraz oszczędnego gospodarowania zasobami w tym energią</w:t>
            </w:r>
            <w:r w:rsidR="001A0722" w:rsidRPr="009F00FC">
              <w:rPr>
                <w:rFonts w:ascii="Times New Roman" w:hAnsi="Times New Roman"/>
              </w:rPr>
              <w:t>,</w:t>
            </w:r>
            <w:r w:rsidR="00CD53C2" w:rsidRPr="009F00FC">
              <w:rPr>
                <w:rFonts w:ascii="Times New Roman" w:hAnsi="Times New Roman"/>
              </w:rPr>
              <w:t xml:space="preserve"> </w:t>
            </w:r>
            <w:r w:rsidRPr="009F00FC">
              <w:rPr>
                <w:rFonts w:ascii="Times New Roman" w:hAnsi="Times New Roman"/>
              </w:rPr>
              <w:t xml:space="preserve"> </w:t>
            </w:r>
            <w:r w:rsidR="006F03DE" w:rsidRPr="009F00FC">
              <w:rPr>
                <w:rFonts w:ascii="Times New Roman" w:hAnsi="Times New Roman"/>
              </w:rPr>
              <w:t>ponadto brak jest skutecznych</w:t>
            </w:r>
            <w:r w:rsidRPr="009F00FC">
              <w:rPr>
                <w:rFonts w:ascii="Times New Roman" w:hAnsi="Times New Roman"/>
              </w:rPr>
              <w:t> ogranicze</w:t>
            </w:r>
            <w:r w:rsidR="006F03DE" w:rsidRPr="009F00FC">
              <w:rPr>
                <w:rFonts w:ascii="Times New Roman" w:hAnsi="Times New Roman"/>
              </w:rPr>
              <w:t>ń</w:t>
            </w:r>
            <w:r w:rsidRPr="009F00FC">
              <w:rPr>
                <w:rFonts w:ascii="Times New Roman" w:hAnsi="Times New Roman"/>
              </w:rPr>
              <w:t xml:space="preserve"> </w:t>
            </w:r>
            <w:r w:rsidR="006F03DE" w:rsidRPr="009F00FC">
              <w:rPr>
                <w:rFonts w:ascii="Times New Roman" w:hAnsi="Times New Roman"/>
              </w:rPr>
              <w:t xml:space="preserve">w stosowaniu toksycznych chemikaliów oraz wystarczającej spójności między warunkami pozwolenia a systemami  </w:t>
            </w:r>
            <w:r w:rsidRPr="009F00FC">
              <w:rPr>
                <w:rFonts w:ascii="Times New Roman" w:hAnsi="Times New Roman"/>
              </w:rPr>
              <w:t>zarządzania środowiskowego;</w:t>
            </w:r>
          </w:p>
          <w:p w14:paraId="70B369DC" w14:textId="57B92BC8" w:rsidR="00A3472E" w:rsidRPr="009F00FC" w:rsidRDefault="00BB7ACB" w:rsidP="002B13D9">
            <w:pPr>
              <w:numPr>
                <w:ilvl w:val="0"/>
                <w:numId w:val="26"/>
              </w:numPr>
              <w:tabs>
                <w:tab w:val="left" w:pos="346"/>
              </w:tabs>
              <w:spacing w:after="120" w:line="240" w:lineRule="auto"/>
              <w:ind w:left="346" w:hanging="346"/>
              <w:jc w:val="both"/>
              <w:rPr>
                <w:rFonts w:ascii="Times New Roman" w:hAnsi="Times New Roman"/>
              </w:rPr>
            </w:pPr>
            <w:r w:rsidRPr="00107398">
              <w:rPr>
                <w:rFonts w:ascii="Times New Roman" w:hAnsi="Times New Roman"/>
                <w:b/>
                <w:bCs/>
              </w:rPr>
              <w:t>udział społeczeństwa i nadzór nad przestrzeganiem wymagań:</w:t>
            </w:r>
            <w:r w:rsidRPr="009F00FC">
              <w:rPr>
                <w:rFonts w:ascii="Times New Roman" w:hAnsi="Times New Roman"/>
              </w:rPr>
              <w:t xml:space="preserve"> obowiązujące procedury mogą ograniczać zakres praw publicznych w odniesieniu do udziału w postępowaniach </w:t>
            </w:r>
            <w:r w:rsidR="00CD53C2" w:rsidRPr="009F00FC">
              <w:rPr>
                <w:rFonts w:ascii="Times New Roman" w:hAnsi="Times New Roman"/>
              </w:rPr>
              <w:t>administracyjnych</w:t>
            </w:r>
            <w:r w:rsidRPr="009F00FC">
              <w:rPr>
                <w:rFonts w:ascii="Times New Roman" w:hAnsi="Times New Roman"/>
              </w:rPr>
              <w:t xml:space="preserve"> oraz możliwości ubiegania się</w:t>
            </w:r>
            <w:r w:rsidR="001A0722" w:rsidRPr="009F00FC">
              <w:rPr>
                <w:rFonts w:ascii="Times New Roman" w:hAnsi="Times New Roman"/>
              </w:rPr>
              <w:t xml:space="preserve"> o</w:t>
            </w:r>
            <w:r w:rsidRPr="009F00FC">
              <w:rPr>
                <w:rFonts w:ascii="Times New Roman" w:hAnsi="Times New Roman"/>
              </w:rPr>
              <w:t xml:space="preserve"> odszkodowania w przypadku </w:t>
            </w:r>
            <w:r w:rsidR="00CD53C2" w:rsidRPr="009F00FC">
              <w:rPr>
                <w:rFonts w:ascii="Times New Roman" w:hAnsi="Times New Roman"/>
              </w:rPr>
              <w:t>wystąpienia</w:t>
            </w:r>
            <w:r w:rsidRPr="009F00FC">
              <w:rPr>
                <w:rFonts w:ascii="Times New Roman" w:hAnsi="Times New Roman"/>
              </w:rPr>
              <w:t xml:space="preserve"> usz</w:t>
            </w:r>
            <w:r w:rsidR="00CD53C2" w:rsidRPr="009F00FC">
              <w:rPr>
                <w:rFonts w:ascii="Times New Roman" w:hAnsi="Times New Roman"/>
              </w:rPr>
              <w:t>cz</w:t>
            </w:r>
            <w:r w:rsidRPr="009F00FC">
              <w:rPr>
                <w:rFonts w:ascii="Times New Roman" w:hAnsi="Times New Roman"/>
              </w:rPr>
              <w:t xml:space="preserve">erbku na zdrowiu spowodowanego niezgodnym z prawem </w:t>
            </w:r>
            <w:r w:rsidR="00CD53C2" w:rsidRPr="009F00FC">
              <w:rPr>
                <w:rFonts w:ascii="Times New Roman" w:hAnsi="Times New Roman"/>
              </w:rPr>
              <w:t>funkcjonowaniem instalacji przemysłowej</w:t>
            </w:r>
            <w:r w:rsidRPr="009F00FC">
              <w:rPr>
                <w:rFonts w:ascii="Times New Roman" w:hAnsi="Times New Roman"/>
              </w:rPr>
              <w:t xml:space="preserve">; </w:t>
            </w:r>
          </w:p>
          <w:p w14:paraId="2DF122D2" w14:textId="75D16DBF" w:rsidR="00A3472E" w:rsidRPr="009F00FC" w:rsidRDefault="00A3472E" w:rsidP="002B13D9">
            <w:pPr>
              <w:numPr>
                <w:ilvl w:val="0"/>
                <w:numId w:val="26"/>
              </w:numPr>
              <w:tabs>
                <w:tab w:val="left" w:pos="346"/>
              </w:tabs>
              <w:spacing w:after="120" w:line="240" w:lineRule="auto"/>
              <w:ind w:left="346" w:hanging="346"/>
              <w:jc w:val="both"/>
              <w:rPr>
                <w:rFonts w:ascii="Times New Roman" w:hAnsi="Times New Roman"/>
              </w:rPr>
            </w:pPr>
            <w:r w:rsidRPr="009F00FC">
              <w:rPr>
                <w:rFonts w:ascii="Times New Roman" w:hAnsi="Times New Roman"/>
                <w:b/>
              </w:rPr>
              <w:t xml:space="preserve">zakres sektorowy: </w:t>
            </w:r>
            <w:r w:rsidR="006F03DE" w:rsidRPr="009F00FC">
              <w:rPr>
                <w:rFonts w:ascii="Times New Roman" w:hAnsi="Times New Roman"/>
                <w:bCs/>
              </w:rPr>
              <w:t>poza zakresem regulacji pozostaje kilka rodzajów działalności</w:t>
            </w:r>
            <w:r w:rsidR="001A0722" w:rsidRPr="009F00FC">
              <w:rPr>
                <w:rFonts w:ascii="Times New Roman" w:hAnsi="Times New Roman"/>
                <w:bCs/>
              </w:rPr>
              <w:t>,</w:t>
            </w:r>
            <w:r w:rsidR="006F03DE" w:rsidRPr="009F00FC">
              <w:rPr>
                <w:rFonts w:ascii="Times New Roman" w:hAnsi="Times New Roman"/>
                <w:bCs/>
              </w:rPr>
              <w:t xml:space="preserve"> które mogą w sposób istotn</w:t>
            </w:r>
            <w:r w:rsidR="00586834" w:rsidRPr="009F00FC">
              <w:rPr>
                <w:rFonts w:ascii="Times New Roman" w:hAnsi="Times New Roman"/>
                <w:bCs/>
              </w:rPr>
              <w:t>y</w:t>
            </w:r>
            <w:r w:rsidR="006F03DE" w:rsidRPr="009F00FC">
              <w:rPr>
                <w:rFonts w:ascii="Times New Roman" w:hAnsi="Times New Roman"/>
                <w:bCs/>
              </w:rPr>
              <w:t xml:space="preserve"> oddziaływać na środowisko</w:t>
            </w:r>
            <w:r w:rsidRPr="009F00FC">
              <w:rPr>
                <w:rFonts w:ascii="Times New Roman" w:hAnsi="Times New Roman"/>
              </w:rPr>
              <w:t xml:space="preserve">. </w:t>
            </w:r>
          </w:p>
          <w:p w14:paraId="28047611" w14:textId="101C6333" w:rsidR="00525380" w:rsidRPr="009F00FC" w:rsidRDefault="00F728D0" w:rsidP="002B13D9">
            <w:pPr>
              <w:tabs>
                <w:tab w:val="left" w:pos="320"/>
              </w:tabs>
              <w:spacing w:after="120" w:line="240" w:lineRule="auto"/>
              <w:ind w:left="34"/>
              <w:jc w:val="both"/>
              <w:rPr>
                <w:rFonts w:ascii="Times New Roman" w:eastAsia="Times New Roman" w:hAnsi="Times New Roman"/>
                <w:lang w:eastAsia="pl-PL"/>
              </w:rPr>
            </w:pPr>
            <w:r w:rsidRPr="009F00FC">
              <w:rPr>
                <w:rFonts w:ascii="Times New Roman" w:hAnsi="Times New Roman"/>
              </w:rPr>
              <w:lastRenderedPageBreak/>
              <w:t>N</w:t>
            </w:r>
            <w:r w:rsidR="00F3095E" w:rsidRPr="009F00FC">
              <w:rPr>
                <w:rFonts w:ascii="Times New Roman" w:hAnsi="Times New Roman"/>
              </w:rPr>
              <w:t>iezbędn</w:t>
            </w:r>
            <w:r w:rsidRPr="009F00FC">
              <w:rPr>
                <w:rFonts w:ascii="Times New Roman" w:hAnsi="Times New Roman"/>
              </w:rPr>
              <w:t>e</w:t>
            </w:r>
            <w:r w:rsidR="005B2996" w:rsidRPr="009F00FC">
              <w:rPr>
                <w:rFonts w:ascii="Times New Roman" w:hAnsi="Times New Roman"/>
              </w:rPr>
              <w:t xml:space="preserve"> jest</w:t>
            </w:r>
            <w:r w:rsidRPr="009F00FC">
              <w:rPr>
                <w:rFonts w:ascii="Times New Roman" w:hAnsi="Times New Roman"/>
              </w:rPr>
              <w:t xml:space="preserve"> także</w:t>
            </w:r>
            <w:r w:rsidR="00E647E1" w:rsidRPr="009F00FC">
              <w:rPr>
                <w:rFonts w:ascii="Times New Roman" w:hAnsi="Times New Roman"/>
              </w:rPr>
              <w:t xml:space="preserve"> </w:t>
            </w:r>
            <w:r w:rsidR="00BA1BA0" w:rsidRPr="009F00FC">
              <w:rPr>
                <w:rFonts w:ascii="Times New Roman" w:eastAsia="Times New Roman" w:hAnsi="Times New Roman"/>
                <w:lang w:eastAsia="pl-PL"/>
              </w:rPr>
              <w:t xml:space="preserve">uwzględnienie </w:t>
            </w:r>
            <w:r w:rsidR="005F668C" w:rsidRPr="009F00FC">
              <w:rPr>
                <w:rFonts w:ascii="Times New Roman" w:hAnsi="Times New Roman"/>
              </w:rPr>
              <w:t>zarzut</w:t>
            </w:r>
            <w:r w:rsidR="00BA1BA0" w:rsidRPr="009F00FC">
              <w:rPr>
                <w:rFonts w:ascii="Times New Roman" w:hAnsi="Times New Roman"/>
              </w:rPr>
              <w:t>ów</w:t>
            </w:r>
            <w:r w:rsidR="005F668C" w:rsidRPr="009F00FC">
              <w:rPr>
                <w:rFonts w:ascii="Times New Roman" w:hAnsi="Times New Roman"/>
              </w:rPr>
              <w:t xml:space="preserve"> formalny</w:t>
            </w:r>
            <w:r w:rsidR="00107398">
              <w:rPr>
                <w:rFonts w:ascii="Times New Roman" w:hAnsi="Times New Roman"/>
              </w:rPr>
              <w:t>ch</w:t>
            </w:r>
            <w:r w:rsidR="005F668C" w:rsidRPr="009F00FC">
              <w:rPr>
                <w:rFonts w:ascii="Times New Roman" w:hAnsi="Times New Roman"/>
              </w:rPr>
              <w:t xml:space="preserve"> Komisji Europejskiej wystosowany</w:t>
            </w:r>
            <w:r w:rsidR="00BA1BA0" w:rsidRPr="009F00FC">
              <w:rPr>
                <w:rFonts w:ascii="Times New Roman" w:hAnsi="Times New Roman"/>
              </w:rPr>
              <w:t>ch</w:t>
            </w:r>
            <w:r w:rsidR="005F668C" w:rsidRPr="009F00FC">
              <w:rPr>
                <w:rFonts w:ascii="Times New Roman" w:hAnsi="Times New Roman"/>
              </w:rPr>
              <w:t xml:space="preserve"> na podstawie art. 258 Traktatu o funkcjonowaniu Unii Europejskiej w związku z nieprawidłową transpozycją dyrektywy Parlamentu Europejskiego i Rady 2010/75/UE z dnia 24 listopada 2010 r. w sprawie emisji przemysłowych ((naruszenie nr 2023/2173).</w:t>
            </w:r>
          </w:p>
          <w:p w14:paraId="665683F9" w14:textId="3F742FA6" w:rsidR="005C6B14" w:rsidRPr="002B13D9" w:rsidRDefault="00F3095E" w:rsidP="002B13D9">
            <w:pPr>
              <w:tabs>
                <w:tab w:val="left" w:pos="320"/>
              </w:tabs>
              <w:spacing w:after="120" w:line="240" w:lineRule="auto"/>
              <w:ind w:left="34"/>
              <w:jc w:val="both"/>
              <w:rPr>
                <w:rFonts w:ascii="Times New Roman" w:hAnsi="Times New Roman"/>
              </w:rPr>
            </w:pPr>
            <w:r w:rsidRPr="009F00FC">
              <w:rPr>
                <w:rFonts w:ascii="Times New Roman" w:hAnsi="Times New Roman"/>
              </w:rPr>
              <w:t>Najważniejsze kwestie</w:t>
            </w:r>
            <w:r w:rsidR="001A0722" w:rsidRPr="009F00FC">
              <w:rPr>
                <w:rFonts w:ascii="Times New Roman" w:hAnsi="Times New Roman"/>
              </w:rPr>
              <w:t xml:space="preserve">, które zostaną </w:t>
            </w:r>
            <w:r w:rsidR="00BA1BA0" w:rsidRPr="002B13D9">
              <w:rPr>
                <w:rFonts w:ascii="Times New Roman" w:hAnsi="Times New Roman"/>
              </w:rPr>
              <w:t>szczegółow</w:t>
            </w:r>
            <w:r w:rsidR="001A0722" w:rsidRPr="002B13D9">
              <w:rPr>
                <w:rFonts w:ascii="Times New Roman" w:hAnsi="Times New Roman"/>
              </w:rPr>
              <w:t>o</w:t>
            </w:r>
            <w:r w:rsidR="00BA1BA0" w:rsidRPr="002B13D9">
              <w:rPr>
                <w:rFonts w:ascii="Times New Roman" w:hAnsi="Times New Roman"/>
              </w:rPr>
              <w:t xml:space="preserve"> </w:t>
            </w:r>
            <w:r w:rsidRPr="002B13D9">
              <w:rPr>
                <w:rFonts w:ascii="Times New Roman" w:hAnsi="Times New Roman"/>
              </w:rPr>
              <w:t>rozwiąz</w:t>
            </w:r>
            <w:r w:rsidR="001A0722" w:rsidRPr="002B13D9">
              <w:rPr>
                <w:rFonts w:ascii="Times New Roman" w:hAnsi="Times New Roman"/>
              </w:rPr>
              <w:t xml:space="preserve">ane </w:t>
            </w:r>
            <w:r w:rsidRPr="002B13D9">
              <w:rPr>
                <w:rFonts w:ascii="Times New Roman" w:hAnsi="Times New Roman"/>
              </w:rPr>
              <w:t>w projekcie ustawy o zmianie ustawy – Prawo ochrony środowiska oraz niektórych innych ustaw:</w:t>
            </w:r>
            <w:bookmarkEnd w:id="4"/>
          </w:p>
          <w:p w14:paraId="56D0040B" w14:textId="4F9ED018" w:rsidR="008F47E6" w:rsidRPr="00A2619E" w:rsidRDefault="008F47E6" w:rsidP="002B13D9">
            <w:pPr>
              <w:pStyle w:val="Akapitzlist"/>
              <w:numPr>
                <w:ilvl w:val="0"/>
                <w:numId w:val="19"/>
              </w:numPr>
              <w:spacing w:after="120" w:line="240" w:lineRule="auto"/>
              <w:ind w:left="346" w:hanging="346"/>
              <w:jc w:val="both"/>
              <w:rPr>
                <w:rFonts w:ascii="Times New Roman" w:hAnsi="Times New Roman"/>
                <w:b/>
                <w:bCs/>
              </w:rPr>
            </w:pPr>
            <w:r>
              <w:rPr>
                <w:rFonts w:ascii="Times New Roman" w:hAnsi="Times New Roman"/>
                <w:b/>
                <w:bCs/>
              </w:rPr>
              <w:t xml:space="preserve">Kwestie wynikające z konieczności </w:t>
            </w:r>
            <w:r w:rsidRPr="00A2619E">
              <w:rPr>
                <w:rFonts w:ascii="Times New Roman" w:hAnsi="Times New Roman"/>
                <w:b/>
                <w:bCs/>
              </w:rPr>
              <w:t>wdr</w:t>
            </w:r>
            <w:r>
              <w:rPr>
                <w:rFonts w:ascii="Times New Roman" w:hAnsi="Times New Roman"/>
                <w:b/>
                <w:bCs/>
              </w:rPr>
              <w:t>ożenia</w:t>
            </w:r>
            <w:r w:rsidRPr="00A2619E">
              <w:rPr>
                <w:rFonts w:ascii="Times New Roman" w:hAnsi="Times New Roman"/>
                <w:b/>
                <w:bCs/>
              </w:rPr>
              <w:t xml:space="preserve"> przepis</w:t>
            </w:r>
            <w:r>
              <w:rPr>
                <w:rFonts w:ascii="Times New Roman" w:hAnsi="Times New Roman"/>
                <w:b/>
                <w:bCs/>
              </w:rPr>
              <w:t>ów</w:t>
            </w:r>
            <w:r w:rsidRPr="00A2619E">
              <w:rPr>
                <w:rFonts w:ascii="Times New Roman" w:hAnsi="Times New Roman"/>
                <w:b/>
                <w:bCs/>
              </w:rPr>
              <w:t xml:space="preserve"> unijn</w:t>
            </w:r>
            <w:r>
              <w:rPr>
                <w:rFonts w:ascii="Times New Roman" w:hAnsi="Times New Roman"/>
                <w:b/>
                <w:bCs/>
              </w:rPr>
              <w:t>ych</w:t>
            </w:r>
            <w:r w:rsidRPr="00A2619E">
              <w:rPr>
                <w:rFonts w:ascii="Times New Roman" w:hAnsi="Times New Roman"/>
                <w:b/>
                <w:bCs/>
              </w:rPr>
              <w:t xml:space="preserve"> - dyrektyw</w:t>
            </w:r>
            <w:r>
              <w:rPr>
                <w:rFonts w:ascii="Times New Roman" w:hAnsi="Times New Roman"/>
                <w:b/>
                <w:bCs/>
              </w:rPr>
              <w:t>a</w:t>
            </w:r>
            <w:r w:rsidRPr="00A2619E">
              <w:rPr>
                <w:rFonts w:ascii="Times New Roman" w:hAnsi="Times New Roman"/>
                <w:b/>
                <w:bCs/>
              </w:rPr>
              <w:t xml:space="preserve"> 2024/1785:</w:t>
            </w:r>
          </w:p>
          <w:p w14:paraId="2011DAB3" w14:textId="5F1A750E" w:rsidR="005C6B14" w:rsidRPr="009F00FC" w:rsidRDefault="005C6B14" w:rsidP="002B13D9">
            <w:pPr>
              <w:pStyle w:val="Akapitzlist"/>
              <w:numPr>
                <w:ilvl w:val="0"/>
                <w:numId w:val="18"/>
              </w:numPr>
              <w:tabs>
                <w:tab w:val="left" w:pos="320"/>
              </w:tabs>
              <w:spacing w:after="120" w:line="240" w:lineRule="auto"/>
              <w:jc w:val="both"/>
              <w:rPr>
                <w:rFonts w:ascii="Times New Roman" w:hAnsi="Times New Roman"/>
                <w:b/>
                <w:bCs/>
                <w:u w:val="single"/>
              </w:rPr>
            </w:pPr>
            <w:r w:rsidRPr="009F00FC">
              <w:rPr>
                <w:rFonts w:ascii="Times New Roman" w:hAnsi="Times New Roman"/>
                <w:b/>
                <w:bCs/>
                <w:u w:val="single"/>
              </w:rPr>
              <w:t>Wprowadzenie obowiązku wykonania analizy w celu określenia najostrzejszych możliwych do osiągnięcia granicznych wielkości emisyjnych (</w:t>
            </w:r>
            <w:r w:rsidR="00EE66C5" w:rsidRPr="009F00FC">
              <w:rPr>
                <w:rFonts w:ascii="Times New Roman" w:hAnsi="Times New Roman"/>
                <w:b/>
                <w:bCs/>
                <w:u w:val="single"/>
              </w:rPr>
              <w:t xml:space="preserve">ang. </w:t>
            </w:r>
            <w:r w:rsidRPr="009F00FC">
              <w:rPr>
                <w:rFonts w:ascii="Times New Roman" w:hAnsi="Times New Roman"/>
                <w:b/>
                <w:bCs/>
                <w:u w:val="single"/>
              </w:rPr>
              <w:t>BAT AEL</w:t>
            </w:r>
            <w:r w:rsidR="00EE66C5" w:rsidRPr="009F00FC">
              <w:rPr>
                <w:rFonts w:ascii="Times New Roman" w:hAnsi="Times New Roman"/>
                <w:b/>
                <w:bCs/>
                <w:u w:val="single"/>
              </w:rPr>
              <w:t>s</w:t>
            </w:r>
            <w:r w:rsidRPr="009F00FC">
              <w:rPr>
                <w:rFonts w:ascii="Times New Roman" w:hAnsi="Times New Roman"/>
                <w:b/>
                <w:bCs/>
                <w:u w:val="single"/>
              </w:rPr>
              <w:t>)</w:t>
            </w:r>
          </w:p>
          <w:p w14:paraId="67FFC670" w14:textId="7CB4959F" w:rsidR="005C6B14" w:rsidRPr="009F00FC" w:rsidRDefault="005C6B14" w:rsidP="002B13D9">
            <w:pPr>
              <w:pStyle w:val="Akapitzlist"/>
              <w:tabs>
                <w:tab w:val="left" w:pos="320"/>
              </w:tabs>
              <w:spacing w:after="120" w:line="240" w:lineRule="auto"/>
              <w:ind w:left="386"/>
              <w:contextualSpacing w:val="0"/>
              <w:jc w:val="both"/>
              <w:rPr>
                <w:rFonts w:ascii="Times New Roman" w:hAnsi="Times New Roman"/>
              </w:rPr>
            </w:pPr>
            <w:r w:rsidRPr="009F00FC">
              <w:rPr>
                <w:rFonts w:ascii="Times New Roman" w:hAnsi="Times New Roman"/>
              </w:rPr>
              <w:t xml:space="preserve">Graniczne wielkości emisyjne (BAT AELs) stanowią wielkości emisji określane w decyzjach wykonawczych Komisji ustanawiających </w:t>
            </w:r>
            <w:r w:rsidR="001A0722" w:rsidRPr="009F00FC">
              <w:rPr>
                <w:rFonts w:ascii="Times New Roman" w:hAnsi="Times New Roman"/>
              </w:rPr>
              <w:t>k</w:t>
            </w:r>
            <w:r w:rsidRPr="009F00FC">
              <w:rPr>
                <w:rFonts w:ascii="Times New Roman" w:hAnsi="Times New Roman"/>
              </w:rPr>
              <w:t xml:space="preserve">onkluzje BAT dla branż przemysłowych objętych obowiązkiem uzyskania pozwolenia zintegrowanego. Wielkości te określane są każdorazowo w formie przedziałów m.in. aby odzwierciedlić różną skuteczność technik ograniczania emisji czy specyfikę poszczególnych instalacji, które zazwyczaj różnią się od siebie nawet w ramach tej samej branży. Przeprowadzone przez KE analizy wskazują, że 85% pozwoleń w całej UE określa najwyższe ze wskazanych w </w:t>
            </w:r>
            <w:r w:rsidR="001A0722" w:rsidRPr="009F00FC">
              <w:rPr>
                <w:rFonts w:ascii="Times New Roman" w:hAnsi="Times New Roman"/>
              </w:rPr>
              <w:t>k</w:t>
            </w:r>
            <w:r w:rsidRPr="009F00FC">
              <w:rPr>
                <w:rFonts w:ascii="Times New Roman" w:hAnsi="Times New Roman"/>
              </w:rPr>
              <w:t>onkluzjach BAT wartości, co negatywnie wpływa na potencjał obowiązujących regulacji w zakresie ograniczania emisji. Dlatego też proponowane zmiany położą nacisk na konieczność uwzględniania całego przedziału BAT AELs podczas ustalania wielkości dopuszczalnej emisji w pozwoleniach zintegrowanych</w:t>
            </w:r>
            <w:r w:rsidR="001A0722" w:rsidRPr="009F00FC">
              <w:rPr>
                <w:rFonts w:ascii="Times New Roman" w:hAnsi="Times New Roman"/>
              </w:rPr>
              <w:t>,</w:t>
            </w:r>
            <w:r w:rsidRPr="009F00FC">
              <w:rPr>
                <w:rFonts w:ascii="Times New Roman" w:hAnsi="Times New Roman"/>
              </w:rPr>
              <w:t xml:space="preserve"> aby odpowiednio odzwierciedlić możliwości danej instalacji w zakresie ograniczania emisji, wynikające ze stosowania najlepszych dostępnych technik BAT. Obok uwarunkowań technicznych wpływ na wielkości emisji ustalane w pozwoleniach będą mieć także wzajemne powiązania między poszczególnymi komponentami środowiska tak by ograniczanie odziaływań na jeden komponent nie wpływało w nadmierny/negatywny sposób na pozostałe</w:t>
            </w:r>
            <w:r w:rsidR="002D09FD" w:rsidRPr="009F00FC">
              <w:rPr>
                <w:rFonts w:ascii="Times New Roman" w:hAnsi="Times New Roman"/>
              </w:rPr>
              <w:t>.</w:t>
            </w:r>
            <w:r w:rsidR="0076319E" w:rsidRPr="009F00FC">
              <w:rPr>
                <w:rFonts w:ascii="Times New Roman" w:hAnsi="Times New Roman"/>
              </w:rPr>
              <w:t xml:space="preserve"> </w:t>
            </w:r>
            <w:r w:rsidR="0076319E">
              <w:rPr>
                <w:rFonts w:ascii="Times New Roman" w:hAnsi="Times New Roman"/>
              </w:rPr>
              <w:t>Ponadto</w:t>
            </w:r>
            <w:r w:rsidR="0076319E" w:rsidRPr="009F00FC">
              <w:rPr>
                <w:rFonts w:ascii="Times New Roman" w:hAnsi="Times New Roman"/>
              </w:rPr>
              <w:t xml:space="preserve"> </w:t>
            </w:r>
            <w:r w:rsidR="0076319E">
              <w:rPr>
                <w:rFonts w:ascii="Times New Roman" w:hAnsi="Times New Roman"/>
              </w:rPr>
              <w:t>d</w:t>
            </w:r>
            <w:r w:rsidR="0076319E" w:rsidRPr="009F00FC">
              <w:rPr>
                <w:rFonts w:ascii="Times New Roman" w:hAnsi="Times New Roman"/>
              </w:rPr>
              <w:t>otychczasowa, dziesięcioletnia praktyka stosowania obowiązujących przepisów dotyczących pozwoleń zintegrowanych wskazuje, że niektóre regulacje mogą zostać uproszczone bez uszczerbku dla jakości wydawanych decyzji. Obowiązujące procedury są niekiedy mało efektywne co może się pogłębić w wyniku wprowadzenia zmian wynikających z dyrektywy 2024/1785</w:t>
            </w:r>
          </w:p>
          <w:p w14:paraId="5A6CA67B" w14:textId="77777777" w:rsidR="005C6B14" w:rsidRPr="009F00FC" w:rsidRDefault="005C6B14" w:rsidP="002B13D9">
            <w:pPr>
              <w:pStyle w:val="Akapitzlist"/>
              <w:numPr>
                <w:ilvl w:val="0"/>
                <w:numId w:val="18"/>
              </w:numPr>
              <w:autoSpaceDE w:val="0"/>
              <w:autoSpaceDN w:val="0"/>
              <w:adjustRightInd w:val="0"/>
              <w:spacing w:after="120" w:line="240" w:lineRule="auto"/>
              <w:jc w:val="both"/>
              <w:rPr>
                <w:rFonts w:ascii="Times New Roman" w:hAnsi="Times New Roman"/>
                <w:b/>
                <w:bCs/>
                <w:u w:val="single"/>
                <w:lang w:eastAsia="pl-PL"/>
              </w:rPr>
            </w:pPr>
            <w:bookmarkStart w:id="6" w:name="_Hlk157674052"/>
            <w:r w:rsidRPr="009F00FC">
              <w:rPr>
                <w:rFonts w:ascii="Times New Roman" w:hAnsi="Times New Roman"/>
                <w:b/>
                <w:bCs/>
                <w:u w:val="single"/>
                <w:lang w:eastAsia="pl-PL"/>
              </w:rPr>
              <w:t xml:space="preserve">Doprecyzowanie w zakresie metodyki oceny zasadności udzielania odstępstw od BAT AELs </w:t>
            </w:r>
          </w:p>
          <w:p w14:paraId="153B96D3" w14:textId="49B9E72B" w:rsidR="005C6B14" w:rsidRPr="009F00FC" w:rsidRDefault="005C6B14" w:rsidP="002B13D9">
            <w:pPr>
              <w:pStyle w:val="Akapitzlist"/>
              <w:autoSpaceDE w:val="0"/>
              <w:autoSpaceDN w:val="0"/>
              <w:adjustRightInd w:val="0"/>
              <w:spacing w:after="120" w:line="240" w:lineRule="auto"/>
              <w:ind w:left="386"/>
              <w:jc w:val="both"/>
              <w:rPr>
                <w:rFonts w:ascii="Times New Roman" w:hAnsi="Times New Roman"/>
                <w:lang w:eastAsia="pl-PL"/>
              </w:rPr>
            </w:pPr>
            <w:r w:rsidRPr="009F00FC">
              <w:rPr>
                <w:rFonts w:ascii="Times New Roman" w:hAnsi="Times New Roman"/>
                <w:lang w:eastAsia="pl-PL"/>
              </w:rPr>
              <w:t xml:space="preserve">Odstępstwa od granicznych wielkości emisyjnych mogą by udzielane w oparciu o ogólne ramy prawne wynikające z art. 204 ust 2 i 3 ustawy </w:t>
            </w:r>
            <w:r w:rsidR="008F0B33" w:rsidRPr="009F00FC">
              <w:rPr>
                <w:rFonts w:ascii="Times New Roman" w:hAnsi="Times New Roman"/>
                <w:lang w:eastAsia="pl-PL"/>
              </w:rPr>
              <w:t xml:space="preserve">z dnia 27 kwietnia 2001 r. – </w:t>
            </w:r>
            <w:r w:rsidRPr="009F00FC">
              <w:rPr>
                <w:rFonts w:ascii="Times New Roman" w:hAnsi="Times New Roman"/>
                <w:lang w:eastAsia="pl-PL"/>
              </w:rPr>
              <w:t>P</w:t>
            </w:r>
            <w:r w:rsidR="008F0B33" w:rsidRPr="009F00FC">
              <w:rPr>
                <w:rFonts w:ascii="Times New Roman" w:hAnsi="Times New Roman"/>
                <w:lang w:eastAsia="pl-PL"/>
              </w:rPr>
              <w:t>rawo ochrony środowiska (Dz. U. z 202</w:t>
            </w:r>
            <w:r w:rsidR="005D0D1D">
              <w:rPr>
                <w:rFonts w:ascii="Times New Roman" w:hAnsi="Times New Roman"/>
                <w:lang w:eastAsia="pl-PL"/>
              </w:rPr>
              <w:t>5</w:t>
            </w:r>
            <w:r w:rsidR="008F0B33" w:rsidRPr="009F00FC">
              <w:rPr>
                <w:rFonts w:ascii="Times New Roman" w:hAnsi="Times New Roman"/>
                <w:lang w:eastAsia="pl-PL"/>
              </w:rPr>
              <w:t xml:space="preserve"> r.</w:t>
            </w:r>
            <w:r w:rsidR="00565DC7">
              <w:rPr>
                <w:rFonts w:ascii="Times New Roman" w:hAnsi="Times New Roman"/>
                <w:lang w:eastAsia="pl-PL"/>
              </w:rPr>
              <w:t xml:space="preserve"> </w:t>
            </w:r>
            <w:r w:rsidR="008F0B33" w:rsidRPr="009F00FC">
              <w:rPr>
                <w:rFonts w:ascii="Times New Roman" w:hAnsi="Times New Roman"/>
                <w:lang w:eastAsia="pl-PL"/>
              </w:rPr>
              <w:t xml:space="preserve">poz. </w:t>
            </w:r>
            <w:r w:rsidR="005D0D1D">
              <w:rPr>
                <w:rFonts w:ascii="Times New Roman" w:hAnsi="Times New Roman"/>
                <w:lang w:eastAsia="pl-PL"/>
              </w:rPr>
              <w:t>647</w:t>
            </w:r>
            <w:r w:rsidR="008F0B33" w:rsidRPr="009F00FC">
              <w:rPr>
                <w:rFonts w:ascii="Times New Roman" w:hAnsi="Times New Roman"/>
                <w:lang w:eastAsia="pl-PL"/>
              </w:rPr>
              <w:t xml:space="preserve"> ze zm.), dalej: Poś</w:t>
            </w:r>
            <w:r w:rsidRPr="009F00FC">
              <w:rPr>
                <w:rFonts w:ascii="Times New Roman" w:hAnsi="Times New Roman"/>
                <w:lang w:eastAsia="pl-PL"/>
              </w:rPr>
              <w:t>. Kluczowym elementem tej procedury jest wykazanie, że koszty dostosowania instalacji, tak by emisje nie powodowały przekroczenia BAT AELs, są nieproporcjonalnie wysokie w stosunku do (utraconych) korzyści środowiskowych jakie zostałyby osiągnięte w przypadku pełnego i terminowego dostosowania. Szczegóły związane z wnioskowaniem o odstępstwo jak również oceną zasadności jego udzielenia zawarte są w ogólnie dostępnym</w:t>
            </w:r>
            <w:r w:rsidR="006D021E">
              <w:rPr>
                <w:rFonts w:ascii="Times New Roman" w:hAnsi="Times New Roman"/>
                <w:lang w:eastAsia="pl-PL"/>
              </w:rPr>
              <w:t xml:space="preserve"> </w:t>
            </w:r>
            <w:r w:rsidRPr="009F00FC">
              <w:rPr>
                <w:rFonts w:ascii="Times New Roman" w:hAnsi="Times New Roman"/>
                <w:lang w:eastAsia="pl-PL"/>
              </w:rPr>
              <w:t>poradniku opracowanym na zlecenie Ministerstwa Klimatu i Środowiska</w:t>
            </w:r>
            <w:r w:rsidR="006D021E">
              <w:rPr>
                <w:rFonts w:ascii="Times New Roman" w:hAnsi="Times New Roman"/>
                <w:lang w:eastAsia="pl-PL"/>
              </w:rPr>
              <w:t xml:space="preserve"> pt.: </w:t>
            </w:r>
            <w:r w:rsidR="006D021E" w:rsidRPr="006D021E">
              <w:rPr>
                <w:rFonts w:ascii="Times New Roman" w:hAnsi="Times New Roman"/>
                <w:lang w:eastAsia="pl-PL"/>
              </w:rPr>
              <w:t>„Wytyczne w zakresie odstępstw od granicznych wielkości emisyjnych dla instalacji przemysłowych wymienionych w Aneksie I Dyrektywy IED”</w:t>
            </w:r>
            <w:r w:rsidR="00744C92">
              <w:rPr>
                <w:rFonts w:ascii="Times New Roman" w:hAnsi="Times New Roman"/>
                <w:lang w:eastAsia="pl-PL"/>
              </w:rPr>
              <w:t xml:space="preserve"> (www.ekoportal.gov.pl)</w:t>
            </w:r>
            <w:r w:rsidRPr="006D021E">
              <w:rPr>
                <w:rFonts w:ascii="Times New Roman" w:hAnsi="Times New Roman"/>
                <w:lang w:eastAsia="pl-PL"/>
              </w:rPr>
              <w:t>. Wytyczne nie stanowią jednak przepisów prawa co powoduje, że odstępstwa mogą być udzielane w</w:t>
            </w:r>
            <w:r w:rsidRPr="009F00FC">
              <w:rPr>
                <w:rFonts w:ascii="Times New Roman" w:hAnsi="Times New Roman"/>
                <w:lang w:eastAsia="pl-PL"/>
              </w:rPr>
              <w:t xml:space="preserve"> oparciu o niejednolite kryteria, co z kolei może niekorzystanie wpływać na zasady konkurencyjności przedsiębiorstw. Odpowiedzią może być doszczegółowienie istniejących ram prawnych poprzez dookreślenie, jakie są najważniejsze kryteria dla analizy zasadności udzielenia odstępstwa od granicznych wielkości emisyjnych. Pewne szczegóły związane z analizą kosztów i korzyści doprecyzuje też decyzja wykonawcza Komisji. </w:t>
            </w:r>
          </w:p>
          <w:p w14:paraId="2A15E3D6" w14:textId="77777777" w:rsidR="005C6B14" w:rsidRPr="009F00FC" w:rsidRDefault="005C6B14" w:rsidP="002B13D9">
            <w:pPr>
              <w:pStyle w:val="Akapitzlist"/>
              <w:numPr>
                <w:ilvl w:val="0"/>
                <w:numId w:val="18"/>
              </w:numPr>
              <w:autoSpaceDE w:val="0"/>
              <w:autoSpaceDN w:val="0"/>
              <w:adjustRightInd w:val="0"/>
              <w:spacing w:after="120" w:line="240" w:lineRule="auto"/>
              <w:jc w:val="both"/>
              <w:rPr>
                <w:rFonts w:ascii="Times New Roman" w:hAnsi="Times New Roman"/>
                <w:b/>
                <w:bCs/>
                <w:u w:val="single"/>
                <w:lang w:eastAsia="pl-PL"/>
              </w:rPr>
            </w:pPr>
            <w:r w:rsidRPr="009F00FC">
              <w:rPr>
                <w:rFonts w:ascii="Times New Roman" w:hAnsi="Times New Roman"/>
                <w:b/>
                <w:bCs/>
                <w:u w:val="single"/>
                <w:lang w:eastAsia="pl-PL"/>
              </w:rPr>
              <w:t>Ocena wpływu udzielonych odstępstw od BAT AELs na stan środowiska</w:t>
            </w:r>
          </w:p>
          <w:p w14:paraId="24D251A6" w14:textId="61525BFF" w:rsidR="005C6B14" w:rsidRPr="009F00FC" w:rsidRDefault="005C6B14" w:rsidP="002B13D9">
            <w:pPr>
              <w:pStyle w:val="Akapitzlist"/>
              <w:autoSpaceDE w:val="0"/>
              <w:autoSpaceDN w:val="0"/>
              <w:adjustRightInd w:val="0"/>
              <w:spacing w:after="120" w:line="240" w:lineRule="auto"/>
              <w:ind w:left="386"/>
              <w:contextualSpacing w:val="0"/>
              <w:jc w:val="both"/>
              <w:rPr>
                <w:rFonts w:ascii="Times New Roman" w:hAnsi="Times New Roman"/>
                <w:lang w:eastAsia="pl-PL"/>
              </w:rPr>
            </w:pPr>
            <w:r w:rsidRPr="009F00FC">
              <w:rPr>
                <w:rFonts w:ascii="Times New Roman" w:hAnsi="Times New Roman"/>
                <w:lang w:eastAsia="pl-PL"/>
              </w:rPr>
              <w:t xml:space="preserve">Odstępstwa od BAT AELs udzielane są w oparciu o wyniki analizy porównawczej kosztów dostosowania instalacji oraz korzyści dla środowiska. Zakres odstępstwa jest dodatkowo ograniczony bezwzględną koniecznością dotrzymywania standardów emisyjnych zgodnie z rozporządzeniem Ministra Klimatu z dnia 24 września 2020 r. w sprawie standardów emisyjnych dla niektórych rodzajów instalacji, źródeł spalania paliw oraz urządzeń spalania lub współspalania odpadów (Dz. U. 2020 poz. 1860). Kolejnym warunkiem umożliwiającym uzyskanie odstępstwa od BAT AELs (jak i pozwolenia zintegrowanego w ogóle) jest konieczność wykazania, że eksploatacja instalacji nie powoduje przekroczenia standardów jakości środowiska. O ile pierwszy z warunków dotyczy tylko wybranych rodzajów instalacji objętych zakresem przywołanego rozporządzenia to warunek drugi ma powszechne zastosowanie obejmując każdą z instalacji, także te wymagające uzyskania pozwolenia zintegrowanego. Tym niemniej sam fakt nieprzekraczania standardów jakości środowiska nie pozwala na ocenę wpływu udzielonego odstępstwa na jakość środowiska. Dlatego też wszędzie tam gdzie można udowodnić wpływ zwiększonej emisji na stan środowiska prowadzony będzie stosowny monitoring. </w:t>
            </w:r>
          </w:p>
          <w:p w14:paraId="33931D08" w14:textId="77777777" w:rsidR="005C6B14" w:rsidRPr="009F00FC" w:rsidRDefault="005C6B14" w:rsidP="002B13D9">
            <w:pPr>
              <w:pStyle w:val="Akapitzlist"/>
              <w:numPr>
                <w:ilvl w:val="0"/>
                <w:numId w:val="18"/>
              </w:numPr>
              <w:autoSpaceDE w:val="0"/>
              <w:autoSpaceDN w:val="0"/>
              <w:adjustRightInd w:val="0"/>
              <w:spacing w:after="120" w:line="240" w:lineRule="auto"/>
              <w:jc w:val="both"/>
              <w:rPr>
                <w:rFonts w:ascii="Times New Roman" w:hAnsi="Times New Roman"/>
                <w:b/>
                <w:bCs/>
                <w:u w:val="single"/>
                <w:lang w:eastAsia="pl-PL"/>
              </w:rPr>
            </w:pPr>
            <w:r w:rsidRPr="009F00FC">
              <w:rPr>
                <w:rFonts w:ascii="Times New Roman" w:hAnsi="Times New Roman"/>
                <w:b/>
                <w:bCs/>
                <w:u w:val="single"/>
                <w:lang w:eastAsia="pl-PL"/>
              </w:rPr>
              <w:t xml:space="preserve">Ujednolicenie zasad ustalania wielkości dopuszczalnej emisji </w:t>
            </w:r>
          </w:p>
          <w:p w14:paraId="2DCD7993" w14:textId="5D20921C" w:rsidR="005C6B14" w:rsidRPr="009F00FC" w:rsidRDefault="005C6B14" w:rsidP="002B13D9">
            <w:pPr>
              <w:pStyle w:val="Akapitzlist"/>
              <w:autoSpaceDE w:val="0"/>
              <w:autoSpaceDN w:val="0"/>
              <w:adjustRightInd w:val="0"/>
              <w:spacing w:after="120" w:line="240" w:lineRule="auto"/>
              <w:ind w:left="386"/>
              <w:contextualSpacing w:val="0"/>
              <w:jc w:val="both"/>
              <w:rPr>
                <w:rFonts w:ascii="Times New Roman" w:hAnsi="Times New Roman"/>
                <w:lang w:eastAsia="pl-PL"/>
              </w:rPr>
            </w:pPr>
            <w:r w:rsidRPr="009F00FC">
              <w:rPr>
                <w:rFonts w:ascii="Times New Roman" w:hAnsi="Times New Roman"/>
                <w:lang w:eastAsia="pl-PL"/>
              </w:rPr>
              <w:t>W odniesieniu do dużych obiektów spalania (LCP) oraz instalacji do termicznego przekształcania odpadów (WI) wymagających uzyskania pozwolenia zintegrowanego, wielkości dopuszczalnej emisji ustalane są w sposób zapewniający dotrzymywani</w:t>
            </w:r>
            <w:r w:rsidR="00EE66C5" w:rsidRPr="009F00FC">
              <w:rPr>
                <w:rFonts w:ascii="Times New Roman" w:hAnsi="Times New Roman"/>
                <w:lang w:eastAsia="pl-PL"/>
              </w:rPr>
              <w:t>e</w:t>
            </w:r>
            <w:r w:rsidRPr="009F00FC">
              <w:rPr>
                <w:rFonts w:ascii="Times New Roman" w:hAnsi="Times New Roman"/>
                <w:lang w:eastAsia="pl-PL"/>
              </w:rPr>
              <w:t xml:space="preserve"> zarówno standardów emisyjnych</w:t>
            </w:r>
            <w:r w:rsidR="00EE66C5" w:rsidRPr="009F00FC">
              <w:rPr>
                <w:rFonts w:ascii="Times New Roman" w:hAnsi="Times New Roman"/>
                <w:lang w:eastAsia="pl-PL"/>
              </w:rPr>
              <w:t>,</w:t>
            </w:r>
            <w:r w:rsidRPr="009F00FC">
              <w:rPr>
                <w:rFonts w:ascii="Times New Roman" w:hAnsi="Times New Roman"/>
                <w:lang w:eastAsia="pl-PL"/>
              </w:rPr>
              <w:t xml:space="preserve"> jak i BAT AELs. W praktyce, zwłaszcza tam gdzie prowadzony jest pomiar ciągły, oznacza to kontrolę kilku wartości odnoszonych do różnych okresów uśrednia</w:t>
            </w:r>
            <w:r w:rsidR="00107398">
              <w:rPr>
                <w:rFonts w:ascii="Times New Roman" w:hAnsi="Times New Roman"/>
                <w:lang w:eastAsia="pl-PL"/>
              </w:rPr>
              <w:t>nia</w:t>
            </w:r>
            <w:r w:rsidRPr="009F00FC">
              <w:rPr>
                <w:rFonts w:ascii="Times New Roman" w:hAnsi="Times New Roman"/>
                <w:lang w:eastAsia="pl-PL"/>
              </w:rPr>
              <w:t xml:space="preserve"> np. średniej jednogodzinnej, dobowej, miesięcznej i rocznej. Dla pozostałych branż zastosowanie mają jeden lub maksymalnie dwa okresy uśredniania. W takiej sytuacji uzasadnione jest uproszczenie regulacji dla LCP i WI poprzez </w:t>
            </w:r>
            <w:r w:rsidRPr="009F00FC">
              <w:rPr>
                <w:rFonts w:ascii="Times New Roman" w:hAnsi="Times New Roman"/>
                <w:lang w:eastAsia="pl-PL"/>
              </w:rPr>
              <w:lastRenderedPageBreak/>
              <w:t xml:space="preserve">wskazanie, że w przypadku dotrzymywania BAT AELs (są to wartości ostrzejsze) nie ma potrzeby kontroli dotrzymywania (łagodniejszych) standardów emisyjnych. </w:t>
            </w:r>
          </w:p>
          <w:p w14:paraId="60859417" w14:textId="77777777" w:rsidR="005C6B14" w:rsidRPr="009F00FC" w:rsidRDefault="005C6B14" w:rsidP="002B13D9">
            <w:pPr>
              <w:pStyle w:val="Akapitzlist"/>
              <w:numPr>
                <w:ilvl w:val="0"/>
                <w:numId w:val="18"/>
              </w:numPr>
              <w:autoSpaceDE w:val="0"/>
              <w:autoSpaceDN w:val="0"/>
              <w:adjustRightInd w:val="0"/>
              <w:spacing w:after="120" w:line="240" w:lineRule="auto"/>
              <w:jc w:val="both"/>
              <w:rPr>
                <w:rFonts w:ascii="Times New Roman" w:hAnsi="Times New Roman"/>
                <w:b/>
                <w:bCs/>
                <w:u w:val="single"/>
                <w:lang w:eastAsia="pl-PL"/>
              </w:rPr>
            </w:pPr>
            <w:r w:rsidRPr="009F00FC">
              <w:rPr>
                <w:rFonts w:ascii="Times New Roman" w:hAnsi="Times New Roman"/>
                <w:b/>
                <w:bCs/>
                <w:u w:val="single"/>
                <w:lang w:eastAsia="pl-PL"/>
              </w:rPr>
              <w:t xml:space="preserve">Wsparcie dla innowacji </w:t>
            </w:r>
          </w:p>
          <w:p w14:paraId="7F8F15E3" w14:textId="2CBAAB72" w:rsidR="005C6B14" w:rsidRPr="009F00FC" w:rsidRDefault="005C6B14" w:rsidP="002B13D9">
            <w:pPr>
              <w:pStyle w:val="Akapitzlist"/>
              <w:autoSpaceDE w:val="0"/>
              <w:autoSpaceDN w:val="0"/>
              <w:adjustRightInd w:val="0"/>
              <w:spacing w:after="120" w:line="240" w:lineRule="auto"/>
              <w:ind w:left="386"/>
              <w:contextualSpacing w:val="0"/>
              <w:jc w:val="both"/>
              <w:rPr>
                <w:rFonts w:ascii="Times New Roman" w:hAnsi="Times New Roman"/>
                <w:lang w:eastAsia="pl-PL"/>
              </w:rPr>
            </w:pPr>
            <w:r w:rsidRPr="009F00FC">
              <w:rPr>
                <w:rFonts w:ascii="Times New Roman" w:hAnsi="Times New Roman"/>
                <w:lang w:eastAsia="pl-PL"/>
              </w:rPr>
              <w:t xml:space="preserve">Ocena skutków regulacji wykazała, że obowiązujące przepisy </w:t>
            </w:r>
            <w:r w:rsidR="007F13B9">
              <w:rPr>
                <w:rFonts w:ascii="Times New Roman" w:hAnsi="Times New Roman"/>
                <w:lang w:eastAsia="pl-PL"/>
              </w:rPr>
              <w:t xml:space="preserve">z </w:t>
            </w:r>
            <w:r w:rsidRPr="009F00FC">
              <w:rPr>
                <w:rFonts w:ascii="Times New Roman" w:hAnsi="Times New Roman"/>
                <w:lang w:eastAsia="pl-PL"/>
              </w:rPr>
              <w:t xml:space="preserve">zakresu ochrony środowiska w sposób niewystarczający wspierają prowadzących instalacje przemysłowe </w:t>
            </w:r>
            <w:r w:rsidR="00EE66C5" w:rsidRPr="009F00FC">
              <w:rPr>
                <w:rFonts w:ascii="Times New Roman" w:hAnsi="Times New Roman"/>
                <w:lang w:eastAsia="pl-PL"/>
              </w:rPr>
              <w:t>we</w:t>
            </w:r>
            <w:r w:rsidRPr="009F00FC">
              <w:rPr>
                <w:rFonts w:ascii="Times New Roman" w:hAnsi="Times New Roman"/>
                <w:lang w:eastAsia="pl-PL"/>
              </w:rPr>
              <w:t xml:space="preserve"> wdrażani</w:t>
            </w:r>
            <w:r w:rsidR="00EE66C5" w:rsidRPr="009F00FC">
              <w:rPr>
                <w:rFonts w:ascii="Times New Roman" w:hAnsi="Times New Roman"/>
                <w:lang w:eastAsia="pl-PL"/>
              </w:rPr>
              <w:t>u</w:t>
            </w:r>
            <w:r w:rsidRPr="009F00FC">
              <w:rPr>
                <w:rFonts w:ascii="Times New Roman" w:hAnsi="Times New Roman"/>
                <w:lang w:eastAsia="pl-PL"/>
              </w:rPr>
              <w:t xml:space="preserve"> innowacji. Nawet w zakresie stosowania najlepszych dostępnych technik (BAT) są to zazwyczaj dobrze znane rozwiązania podlegające, na przestrzeni lat, co najwyżej drobnym modyfikacjom. </w:t>
            </w:r>
          </w:p>
          <w:p w14:paraId="2F479602" w14:textId="77777777" w:rsidR="005C6B14" w:rsidRPr="009F00FC" w:rsidRDefault="005C6B14" w:rsidP="002B13D9">
            <w:pPr>
              <w:pStyle w:val="Akapitzlist"/>
              <w:numPr>
                <w:ilvl w:val="0"/>
                <w:numId w:val="18"/>
              </w:numPr>
              <w:autoSpaceDE w:val="0"/>
              <w:autoSpaceDN w:val="0"/>
              <w:adjustRightInd w:val="0"/>
              <w:spacing w:after="120" w:line="240" w:lineRule="auto"/>
              <w:jc w:val="both"/>
              <w:rPr>
                <w:rFonts w:ascii="Times New Roman" w:hAnsi="Times New Roman"/>
                <w:b/>
                <w:bCs/>
                <w:u w:val="single"/>
                <w:lang w:eastAsia="pl-PL"/>
              </w:rPr>
            </w:pPr>
            <w:r w:rsidRPr="009F00FC">
              <w:rPr>
                <w:rFonts w:ascii="Times New Roman" w:hAnsi="Times New Roman"/>
                <w:b/>
                <w:bCs/>
                <w:u w:val="single"/>
                <w:lang w:eastAsia="pl-PL"/>
              </w:rPr>
              <w:t>Wprowadzenie wiążących poziomów efektywności środowiskowej (BAT AEPL)</w:t>
            </w:r>
          </w:p>
          <w:p w14:paraId="68529DF8" w14:textId="104FF442" w:rsidR="005C6B14" w:rsidRPr="009F00FC" w:rsidRDefault="005C6B14" w:rsidP="002B13D9">
            <w:pPr>
              <w:pStyle w:val="Akapitzlist"/>
              <w:autoSpaceDE w:val="0"/>
              <w:autoSpaceDN w:val="0"/>
              <w:adjustRightInd w:val="0"/>
              <w:spacing w:after="120" w:line="240" w:lineRule="auto"/>
              <w:ind w:left="386"/>
              <w:contextualSpacing w:val="0"/>
              <w:jc w:val="both"/>
              <w:rPr>
                <w:rFonts w:ascii="Times New Roman" w:hAnsi="Times New Roman"/>
                <w:lang w:eastAsia="pl-PL"/>
              </w:rPr>
            </w:pPr>
            <w:r w:rsidRPr="009F00FC">
              <w:rPr>
                <w:rFonts w:ascii="Times New Roman" w:hAnsi="Times New Roman"/>
                <w:lang w:eastAsia="pl-PL"/>
              </w:rPr>
              <w:t>Dotychczasowe regulacje w zakresie ograniczania o</w:t>
            </w:r>
            <w:r w:rsidR="007F13B9">
              <w:rPr>
                <w:rFonts w:ascii="Times New Roman" w:hAnsi="Times New Roman"/>
                <w:lang w:eastAsia="pl-PL"/>
              </w:rPr>
              <w:t>d</w:t>
            </w:r>
            <w:r w:rsidRPr="009F00FC">
              <w:rPr>
                <w:rFonts w:ascii="Times New Roman" w:hAnsi="Times New Roman"/>
                <w:lang w:eastAsia="pl-PL"/>
              </w:rPr>
              <w:t xml:space="preserve">działywań na środowisko powodowanych przez instalacje przemysłowe kładły nacisk przede wszystkim na interwencje poprzez wiążące wielkości dopuszczalnej emisji, określone w pozwoleniach. Regulacje związane z tzw. zasobooszczędnością czyli racjonalnym gospodarowaniem surowcami i minimalizowanie powstawania odpadów miały charakter opisowy lub materializowały się w formie niewiążących poziomów efektywności środowiskowej.  </w:t>
            </w:r>
          </w:p>
          <w:p w14:paraId="44832BBA" w14:textId="77777777" w:rsidR="005C6B14" w:rsidRPr="009F00FC" w:rsidRDefault="005C6B14" w:rsidP="002B13D9">
            <w:pPr>
              <w:pStyle w:val="Akapitzlist"/>
              <w:numPr>
                <w:ilvl w:val="0"/>
                <w:numId w:val="18"/>
              </w:numPr>
              <w:autoSpaceDE w:val="0"/>
              <w:autoSpaceDN w:val="0"/>
              <w:adjustRightInd w:val="0"/>
              <w:spacing w:after="120" w:line="240" w:lineRule="auto"/>
              <w:contextualSpacing w:val="0"/>
              <w:jc w:val="both"/>
              <w:rPr>
                <w:rFonts w:ascii="Times New Roman" w:hAnsi="Times New Roman"/>
                <w:lang w:eastAsia="pl-PL"/>
              </w:rPr>
            </w:pPr>
            <w:r w:rsidRPr="009F00FC">
              <w:rPr>
                <w:rFonts w:ascii="Times New Roman" w:hAnsi="Times New Roman"/>
                <w:b/>
                <w:bCs/>
                <w:u w:val="single"/>
              </w:rPr>
              <w:t>System zarządzania środowiskowego (EMS)</w:t>
            </w:r>
          </w:p>
          <w:p w14:paraId="77316957" w14:textId="665A3229" w:rsidR="005C6B14" w:rsidRPr="009F00FC" w:rsidRDefault="005C6B14" w:rsidP="002B13D9">
            <w:pPr>
              <w:tabs>
                <w:tab w:val="left" w:pos="320"/>
              </w:tabs>
              <w:spacing w:after="120" w:line="240" w:lineRule="auto"/>
              <w:ind w:left="386"/>
              <w:jc w:val="both"/>
              <w:rPr>
                <w:rFonts w:ascii="Times New Roman" w:hAnsi="Times New Roman"/>
              </w:rPr>
            </w:pPr>
            <w:r w:rsidRPr="009F00FC">
              <w:rPr>
                <w:rFonts w:ascii="Times New Roman" w:hAnsi="Times New Roman"/>
              </w:rPr>
              <w:t xml:space="preserve">Systemy zarządzania środowiskowego (EMS) funkcjonują w znakomitej większości instalacji przemysłowych posiadających pozwolenie zintegrowane. Jest to m.in. efekt dostosowania do </w:t>
            </w:r>
            <w:r w:rsidR="00EE66C5" w:rsidRPr="009F00FC">
              <w:rPr>
                <w:rFonts w:ascii="Times New Roman" w:hAnsi="Times New Roman"/>
              </w:rPr>
              <w:t>k</w:t>
            </w:r>
            <w:r w:rsidRPr="009F00FC">
              <w:rPr>
                <w:rFonts w:ascii="Times New Roman" w:hAnsi="Times New Roman"/>
              </w:rPr>
              <w:t>onkluzji BAT gdzie każdorazowo jest mowa o konieczności opracowania i wdrożenia systemu zrządzania środowiskowego spełniającego określone kryteria (wskazane zazwyczaj w BAT 1). Tym niemniej w tym zakresie funkcjonowała pewna dowolność co do faktycznej zawartości EMS</w:t>
            </w:r>
            <w:r w:rsidR="007F13B9">
              <w:rPr>
                <w:rFonts w:ascii="Times New Roman" w:hAnsi="Times New Roman"/>
              </w:rPr>
              <w:t>,</w:t>
            </w:r>
            <w:r w:rsidRPr="009F00FC">
              <w:rPr>
                <w:rFonts w:ascii="Times New Roman" w:hAnsi="Times New Roman"/>
              </w:rPr>
              <w:t xml:space="preserve"> jak również nie było obowiązku jego weryfikacji. </w:t>
            </w:r>
          </w:p>
          <w:p w14:paraId="3DA32897" w14:textId="77777777" w:rsidR="005C6B14" w:rsidRPr="009F00FC" w:rsidRDefault="005C6B14" w:rsidP="002B13D9">
            <w:pPr>
              <w:numPr>
                <w:ilvl w:val="0"/>
                <w:numId w:val="18"/>
              </w:numPr>
              <w:tabs>
                <w:tab w:val="left" w:pos="320"/>
              </w:tabs>
              <w:spacing w:after="120" w:line="240" w:lineRule="auto"/>
              <w:jc w:val="both"/>
              <w:rPr>
                <w:rFonts w:ascii="Times New Roman" w:hAnsi="Times New Roman"/>
                <w:b/>
                <w:bCs/>
                <w:u w:val="single"/>
              </w:rPr>
            </w:pPr>
            <w:bookmarkStart w:id="7" w:name="_Hlk157678007"/>
            <w:bookmarkEnd w:id="6"/>
            <w:r w:rsidRPr="009F00FC">
              <w:rPr>
                <w:rFonts w:ascii="Times New Roman" w:hAnsi="Times New Roman"/>
                <w:b/>
                <w:bCs/>
                <w:u w:val="single"/>
              </w:rPr>
              <w:t>Udział społeczeństwa w procesie podejmowania decyzji</w:t>
            </w:r>
          </w:p>
          <w:p w14:paraId="3758F79B" w14:textId="77777777" w:rsidR="005C6B14" w:rsidRPr="009F00FC" w:rsidRDefault="005C6B14" w:rsidP="002B13D9">
            <w:pPr>
              <w:tabs>
                <w:tab w:val="left" w:pos="320"/>
              </w:tabs>
              <w:spacing w:after="120" w:line="240" w:lineRule="auto"/>
              <w:ind w:left="384"/>
              <w:jc w:val="both"/>
              <w:rPr>
                <w:rFonts w:ascii="Times New Roman" w:hAnsi="Times New Roman"/>
              </w:rPr>
            </w:pPr>
            <w:r w:rsidRPr="009F00FC">
              <w:rPr>
                <w:rFonts w:ascii="Times New Roman" w:hAnsi="Times New Roman"/>
              </w:rPr>
              <w:t>Udział społeczeństwa w postępowaniach dotyczących pozwoleń zintegrowanych ograniczony jest obecnie do następujących przypadków:</w:t>
            </w:r>
          </w:p>
          <w:p w14:paraId="6B1FCB79" w14:textId="77777777" w:rsidR="005C6B14" w:rsidRPr="009F00FC" w:rsidRDefault="005C6B14" w:rsidP="002B13D9">
            <w:pPr>
              <w:tabs>
                <w:tab w:val="left" w:pos="320"/>
              </w:tabs>
              <w:spacing w:after="120" w:line="240" w:lineRule="auto"/>
              <w:ind w:left="384"/>
              <w:jc w:val="both"/>
              <w:rPr>
                <w:rFonts w:ascii="Times New Roman" w:hAnsi="Times New Roman"/>
              </w:rPr>
            </w:pPr>
            <w:r w:rsidRPr="009F00FC">
              <w:rPr>
                <w:rFonts w:ascii="Times New Roman" w:hAnsi="Times New Roman"/>
              </w:rPr>
              <w:t xml:space="preserve">- udzielenie pozwolenia dla nowej instalacji, </w:t>
            </w:r>
          </w:p>
          <w:p w14:paraId="3DCDDCD0" w14:textId="77777777" w:rsidR="005C6B14" w:rsidRPr="009F00FC" w:rsidRDefault="005C6B14" w:rsidP="002B13D9">
            <w:pPr>
              <w:tabs>
                <w:tab w:val="left" w:pos="320"/>
              </w:tabs>
              <w:spacing w:after="120" w:line="240" w:lineRule="auto"/>
              <w:ind w:left="384"/>
              <w:jc w:val="both"/>
              <w:rPr>
                <w:rFonts w:ascii="Times New Roman" w:hAnsi="Times New Roman"/>
              </w:rPr>
            </w:pPr>
            <w:r w:rsidRPr="009F00FC">
              <w:rPr>
                <w:rFonts w:ascii="Times New Roman" w:hAnsi="Times New Roman"/>
              </w:rPr>
              <w:t xml:space="preserve">- istotna zmiana pozwolenia, </w:t>
            </w:r>
          </w:p>
          <w:p w14:paraId="1D9CFB25" w14:textId="77777777" w:rsidR="005C6B14" w:rsidRPr="009F00FC" w:rsidRDefault="005C6B14" w:rsidP="002B13D9">
            <w:pPr>
              <w:tabs>
                <w:tab w:val="left" w:pos="320"/>
              </w:tabs>
              <w:spacing w:after="120" w:line="240" w:lineRule="auto"/>
              <w:ind w:left="386"/>
              <w:jc w:val="both"/>
              <w:rPr>
                <w:rFonts w:ascii="Times New Roman" w:hAnsi="Times New Roman"/>
              </w:rPr>
            </w:pPr>
            <w:r w:rsidRPr="009F00FC">
              <w:rPr>
                <w:rFonts w:ascii="Times New Roman" w:hAnsi="Times New Roman"/>
              </w:rPr>
              <w:t>- postępowanie obejmujące odstępstwo od granicznych wielkości emisyjnych.</w:t>
            </w:r>
          </w:p>
          <w:p w14:paraId="2A5B7D47" w14:textId="77777777" w:rsidR="005C6B14" w:rsidRPr="009F00FC" w:rsidRDefault="005C6B14" w:rsidP="002B13D9">
            <w:pPr>
              <w:tabs>
                <w:tab w:val="left" w:pos="320"/>
              </w:tabs>
              <w:spacing w:after="120" w:line="240" w:lineRule="auto"/>
              <w:ind w:left="386"/>
              <w:jc w:val="both"/>
              <w:rPr>
                <w:rFonts w:ascii="Times New Roman" w:hAnsi="Times New Roman"/>
              </w:rPr>
            </w:pPr>
            <w:r w:rsidRPr="009F00FC">
              <w:rPr>
                <w:rFonts w:ascii="Times New Roman" w:hAnsi="Times New Roman"/>
              </w:rPr>
              <w:t xml:space="preserve">Takie podejście, w ocenie organizacji pozarządowych zajmujących się ochroną środowiska, w sposób nieuprawniony ograniczało zakres udziału społeczeństwa w procesie podejmowania decyzji wynikający z Konwencji z Aarhus. Podobną opinię zaprezentował Sekretariat Konwencji wskazując, że społeczeństwo powinno móc wypowiedzieć się w sprawach gdzie określane są istotne wymagania związane z funkcjonowaniem instalacji przemysłowych. </w:t>
            </w:r>
          </w:p>
          <w:p w14:paraId="12E1E789" w14:textId="77777777" w:rsidR="005C6B14" w:rsidRPr="009F00FC" w:rsidRDefault="005C6B14" w:rsidP="002B13D9">
            <w:pPr>
              <w:numPr>
                <w:ilvl w:val="0"/>
                <w:numId w:val="18"/>
              </w:numPr>
              <w:tabs>
                <w:tab w:val="left" w:pos="320"/>
              </w:tabs>
              <w:spacing w:after="120" w:line="240" w:lineRule="auto"/>
              <w:jc w:val="both"/>
              <w:rPr>
                <w:rFonts w:ascii="Times New Roman" w:hAnsi="Times New Roman"/>
                <w:b/>
                <w:bCs/>
                <w:u w:val="single"/>
              </w:rPr>
            </w:pPr>
            <w:r w:rsidRPr="009F00FC">
              <w:rPr>
                <w:rFonts w:ascii="Times New Roman" w:hAnsi="Times New Roman"/>
                <w:b/>
                <w:bCs/>
                <w:u w:val="single"/>
              </w:rPr>
              <w:t>Możliwość wnioskowania o odszkodowania</w:t>
            </w:r>
          </w:p>
          <w:p w14:paraId="7F7C24F8" w14:textId="77777777" w:rsidR="005C6B14" w:rsidRPr="009F00FC" w:rsidRDefault="005C6B14" w:rsidP="002B13D9">
            <w:pPr>
              <w:tabs>
                <w:tab w:val="left" w:pos="320"/>
              </w:tabs>
              <w:spacing w:after="120" w:line="240" w:lineRule="auto"/>
              <w:ind w:left="386"/>
              <w:jc w:val="both"/>
              <w:rPr>
                <w:rFonts w:ascii="Times New Roman" w:hAnsi="Times New Roman"/>
              </w:rPr>
            </w:pPr>
            <w:r w:rsidRPr="009F00FC">
              <w:rPr>
                <w:rFonts w:ascii="Times New Roman" w:hAnsi="Times New Roman"/>
              </w:rPr>
              <w:t xml:space="preserve">Ponadnormatywne oddziaływania instalacji przemysłowych mogą mieć wymierne przełożenie na obniżenie jakości życia, a w skrajnych przypadkach powodować uszczerbek na zdrowiu lub nawet przedwczesne zgony u najbardziej narażonej część społeczeństwa. Obywatele, których zdrowie ucierpiało w skutek działalności przemysłowej niezgodnej z warunkami określonymi w pozwoleniu zintegrowanym, powinni mieć zapewnioną możliwość swobodnego dostępu do wymiaru sprawiedliwości celem uzyskania odszkodowania od podmiotu, który dopuścił się takiego naruszenia. </w:t>
            </w:r>
          </w:p>
          <w:bookmarkEnd w:id="7"/>
          <w:p w14:paraId="58A332C2" w14:textId="005FD71E" w:rsidR="005C6B14" w:rsidRPr="009F00FC" w:rsidRDefault="005C6B14" w:rsidP="002B13D9">
            <w:pPr>
              <w:numPr>
                <w:ilvl w:val="0"/>
                <w:numId w:val="18"/>
              </w:numPr>
              <w:tabs>
                <w:tab w:val="left" w:pos="320"/>
              </w:tabs>
              <w:spacing w:after="120" w:line="240" w:lineRule="auto"/>
              <w:jc w:val="both"/>
              <w:rPr>
                <w:rFonts w:ascii="Times New Roman" w:hAnsi="Times New Roman"/>
                <w:b/>
                <w:bCs/>
                <w:u w:val="single"/>
              </w:rPr>
            </w:pPr>
            <w:r w:rsidRPr="009F00FC">
              <w:rPr>
                <w:rFonts w:ascii="Times New Roman" w:hAnsi="Times New Roman"/>
                <w:b/>
                <w:bCs/>
                <w:u w:val="single"/>
              </w:rPr>
              <w:t xml:space="preserve">Sankcje i </w:t>
            </w:r>
            <w:r w:rsidR="007F13B9">
              <w:rPr>
                <w:rFonts w:ascii="Times New Roman" w:hAnsi="Times New Roman"/>
                <w:b/>
                <w:bCs/>
                <w:u w:val="single"/>
              </w:rPr>
              <w:t>k</w:t>
            </w:r>
            <w:r w:rsidRPr="009F00FC">
              <w:rPr>
                <w:rFonts w:ascii="Times New Roman" w:hAnsi="Times New Roman"/>
                <w:b/>
                <w:bCs/>
                <w:u w:val="single"/>
              </w:rPr>
              <w:t xml:space="preserve">ary </w:t>
            </w:r>
          </w:p>
          <w:p w14:paraId="0F8A4052" w14:textId="4E400955" w:rsidR="00F72672" w:rsidRPr="009F00FC" w:rsidRDefault="005C6B14" w:rsidP="002B13D9">
            <w:pPr>
              <w:tabs>
                <w:tab w:val="left" w:pos="320"/>
              </w:tabs>
              <w:spacing w:after="120" w:line="240" w:lineRule="auto"/>
              <w:ind w:left="386"/>
              <w:jc w:val="both"/>
              <w:rPr>
                <w:rFonts w:ascii="Times New Roman" w:hAnsi="Times New Roman"/>
              </w:rPr>
            </w:pPr>
            <w:r w:rsidRPr="009F00FC">
              <w:rPr>
                <w:rFonts w:ascii="Times New Roman" w:hAnsi="Times New Roman"/>
              </w:rPr>
              <w:t>Nieprzestrzeganie wymagań z zakresu ochrony środowiska np. tych określonych w pozwoleniach zintegrowanych wiąże się z ryzykiem nałożenia na prowadzącego instalację administracyjnych kar pieniężnych. Krajowe przepisy w tym zakresie skonstruowane są kompleksowo</w:t>
            </w:r>
            <w:r w:rsidR="00401379" w:rsidRPr="009F00FC">
              <w:rPr>
                <w:rFonts w:ascii="Times New Roman" w:hAnsi="Times New Roman"/>
              </w:rPr>
              <w:t>,</w:t>
            </w:r>
            <w:r w:rsidRPr="009F00FC">
              <w:rPr>
                <w:rFonts w:ascii="Times New Roman" w:hAnsi="Times New Roman"/>
              </w:rPr>
              <w:t xml:space="preserve"> a dzięki działaniom Inspekcji Ochrony Środowiska zapewniają odpowiedni nadzór nad zgodną z przepisami eksploatacją instalacji przemysłowych. </w:t>
            </w:r>
          </w:p>
          <w:p w14:paraId="6D220CD6" w14:textId="0E9883D5" w:rsidR="000F4A62" w:rsidRPr="009F00FC" w:rsidRDefault="006510F0" w:rsidP="002B13D9">
            <w:pPr>
              <w:pStyle w:val="Akapitzlist"/>
              <w:numPr>
                <w:ilvl w:val="0"/>
                <w:numId w:val="18"/>
              </w:numPr>
              <w:tabs>
                <w:tab w:val="left" w:pos="320"/>
              </w:tabs>
              <w:spacing w:after="120" w:line="240" w:lineRule="auto"/>
              <w:contextualSpacing w:val="0"/>
              <w:jc w:val="both"/>
              <w:rPr>
                <w:rFonts w:ascii="Times New Roman" w:hAnsi="Times New Roman"/>
              </w:rPr>
            </w:pPr>
            <w:r w:rsidRPr="009F00FC">
              <w:rPr>
                <w:rFonts w:ascii="Times New Roman" w:hAnsi="Times New Roman"/>
                <w:b/>
                <w:bCs/>
                <w:u w:val="single"/>
              </w:rPr>
              <w:t xml:space="preserve">Objęcie obowiązkiem uzyskania pozwolenia zintegrowanego nowych rodzajów instalacji. </w:t>
            </w:r>
            <w:r w:rsidR="00C71D7E" w:rsidRPr="009F00FC">
              <w:rPr>
                <w:rFonts w:ascii="Times New Roman" w:hAnsi="Times New Roman"/>
                <w:b/>
                <w:bCs/>
                <w:u w:val="single"/>
              </w:rPr>
              <w:t>Rodzaje</w:t>
            </w:r>
            <w:r w:rsidRPr="009F00FC">
              <w:rPr>
                <w:rFonts w:ascii="Times New Roman" w:hAnsi="Times New Roman"/>
                <w:b/>
                <w:bCs/>
                <w:u w:val="single"/>
              </w:rPr>
              <w:t xml:space="preserve"> </w:t>
            </w:r>
            <w:r w:rsidR="00C71D7E" w:rsidRPr="009F00FC">
              <w:rPr>
                <w:rFonts w:ascii="Times New Roman" w:hAnsi="Times New Roman"/>
                <w:b/>
                <w:bCs/>
                <w:u w:val="single"/>
              </w:rPr>
              <w:t>instalacji</w:t>
            </w:r>
            <w:r w:rsidRPr="009F00FC">
              <w:rPr>
                <w:rFonts w:ascii="Times New Roman" w:hAnsi="Times New Roman"/>
                <w:b/>
                <w:bCs/>
                <w:u w:val="single"/>
              </w:rPr>
              <w:t xml:space="preserve"> objęte </w:t>
            </w:r>
            <w:r w:rsidR="00C71D7E" w:rsidRPr="009F00FC">
              <w:rPr>
                <w:rFonts w:ascii="Times New Roman" w:hAnsi="Times New Roman"/>
                <w:b/>
                <w:bCs/>
                <w:u w:val="single"/>
              </w:rPr>
              <w:t>obowiązkiem</w:t>
            </w:r>
            <w:r w:rsidRPr="009F00FC">
              <w:rPr>
                <w:rFonts w:ascii="Times New Roman" w:hAnsi="Times New Roman"/>
                <w:b/>
                <w:bCs/>
                <w:u w:val="single"/>
              </w:rPr>
              <w:t xml:space="preserve"> uzyskania </w:t>
            </w:r>
            <w:r w:rsidR="00C71D7E" w:rsidRPr="009F00FC">
              <w:rPr>
                <w:rFonts w:ascii="Times New Roman" w:hAnsi="Times New Roman"/>
                <w:b/>
                <w:bCs/>
                <w:u w:val="single"/>
              </w:rPr>
              <w:t xml:space="preserve">pozwolenia </w:t>
            </w:r>
            <w:r w:rsidRPr="009F00FC">
              <w:rPr>
                <w:rFonts w:ascii="Times New Roman" w:hAnsi="Times New Roman"/>
                <w:b/>
                <w:bCs/>
                <w:u w:val="single"/>
              </w:rPr>
              <w:t>zintegrowanego wymien</w:t>
            </w:r>
            <w:r w:rsidR="00C71D7E" w:rsidRPr="009F00FC">
              <w:rPr>
                <w:rFonts w:ascii="Times New Roman" w:hAnsi="Times New Roman"/>
                <w:b/>
                <w:bCs/>
                <w:u w:val="single"/>
              </w:rPr>
              <w:t>i</w:t>
            </w:r>
            <w:r w:rsidRPr="009F00FC">
              <w:rPr>
                <w:rFonts w:ascii="Times New Roman" w:hAnsi="Times New Roman"/>
                <w:b/>
                <w:bCs/>
                <w:u w:val="single"/>
              </w:rPr>
              <w:t>on</w:t>
            </w:r>
            <w:r w:rsidR="00C71D7E" w:rsidRPr="009F00FC">
              <w:rPr>
                <w:rFonts w:ascii="Times New Roman" w:hAnsi="Times New Roman"/>
                <w:b/>
                <w:bCs/>
                <w:u w:val="single"/>
              </w:rPr>
              <w:t>e</w:t>
            </w:r>
            <w:r w:rsidRPr="009F00FC">
              <w:rPr>
                <w:rFonts w:ascii="Times New Roman" w:hAnsi="Times New Roman"/>
                <w:b/>
                <w:bCs/>
                <w:u w:val="single"/>
              </w:rPr>
              <w:t xml:space="preserve"> w załą</w:t>
            </w:r>
            <w:r w:rsidR="00C71D7E" w:rsidRPr="009F00FC">
              <w:rPr>
                <w:rFonts w:ascii="Times New Roman" w:hAnsi="Times New Roman"/>
                <w:b/>
                <w:bCs/>
                <w:u w:val="single"/>
              </w:rPr>
              <w:t>c</w:t>
            </w:r>
            <w:r w:rsidRPr="009F00FC">
              <w:rPr>
                <w:rFonts w:ascii="Times New Roman" w:hAnsi="Times New Roman"/>
                <w:b/>
                <w:bCs/>
                <w:u w:val="single"/>
              </w:rPr>
              <w:t>zniku</w:t>
            </w:r>
            <w:r w:rsidR="00C71D7E" w:rsidRPr="009F00FC">
              <w:rPr>
                <w:rFonts w:ascii="Times New Roman" w:hAnsi="Times New Roman"/>
                <w:b/>
                <w:bCs/>
                <w:u w:val="single"/>
              </w:rPr>
              <w:t xml:space="preserve"> I</w:t>
            </w:r>
            <w:r w:rsidRPr="009F00FC">
              <w:rPr>
                <w:rFonts w:ascii="Times New Roman" w:hAnsi="Times New Roman"/>
                <w:b/>
                <w:bCs/>
                <w:u w:val="single"/>
              </w:rPr>
              <w:t xml:space="preserve"> do</w:t>
            </w:r>
            <w:r w:rsidR="00C71D7E" w:rsidRPr="009F00FC">
              <w:rPr>
                <w:rFonts w:ascii="Times New Roman" w:hAnsi="Times New Roman"/>
                <w:b/>
                <w:bCs/>
                <w:u w:val="single"/>
              </w:rPr>
              <w:t xml:space="preserve"> dyrektywy 2024/1785</w:t>
            </w:r>
          </w:p>
          <w:p w14:paraId="167CB80D" w14:textId="325959D0" w:rsidR="000C7653" w:rsidRPr="009F00FC" w:rsidRDefault="00153FC8" w:rsidP="002B13D9">
            <w:pPr>
              <w:spacing w:after="120" w:line="240" w:lineRule="auto"/>
              <w:ind w:left="380" w:firstLine="2"/>
              <w:jc w:val="both"/>
              <w:rPr>
                <w:rFonts w:ascii="Times New Roman" w:hAnsi="Times New Roman"/>
              </w:rPr>
            </w:pPr>
            <w:r w:rsidRPr="009F00FC">
              <w:rPr>
                <w:rFonts w:ascii="Times New Roman" w:hAnsi="Times New Roman"/>
              </w:rPr>
              <w:t>W ramach Europejskiego Zielonego Ładu przeprowadzony został przegląd środków dotyczących rozwiązania problemu zanieczyszczeń pochodzących z dużych instalacji przemysłowych</w:t>
            </w:r>
            <w:r w:rsidR="003D251E" w:rsidRPr="009F00FC">
              <w:rPr>
                <w:rFonts w:ascii="Times New Roman" w:hAnsi="Times New Roman"/>
              </w:rPr>
              <w:t xml:space="preserve">. </w:t>
            </w:r>
            <w:r w:rsidR="000C7653" w:rsidRPr="009F00FC">
              <w:rPr>
                <w:rFonts w:ascii="Times New Roman" w:hAnsi="Times New Roman"/>
              </w:rPr>
              <w:t>Wyniki wska</w:t>
            </w:r>
            <w:r w:rsidR="002D09FD" w:rsidRPr="009F00FC">
              <w:rPr>
                <w:rFonts w:ascii="Times New Roman" w:hAnsi="Times New Roman"/>
              </w:rPr>
              <w:t>z</w:t>
            </w:r>
            <w:r w:rsidR="000C7653" w:rsidRPr="009F00FC">
              <w:rPr>
                <w:rFonts w:ascii="Times New Roman" w:hAnsi="Times New Roman"/>
              </w:rPr>
              <w:t>ują na potrzebę rozszerzeni</w:t>
            </w:r>
            <w:r w:rsidR="002D09FD" w:rsidRPr="009F00FC">
              <w:rPr>
                <w:rFonts w:ascii="Times New Roman" w:hAnsi="Times New Roman"/>
              </w:rPr>
              <w:t>a</w:t>
            </w:r>
            <w:r w:rsidR="000C7653" w:rsidRPr="009F00FC">
              <w:rPr>
                <w:rFonts w:ascii="Times New Roman" w:hAnsi="Times New Roman"/>
              </w:rPr>
              <w:t xml:space="preserve"> katalogu instalacji ob</w:t>
            </w:r>
            <w:r w:rsidR="00401379" w:rsidRPr="009F00FC">
              <w:rPr>
                <w:rFonts w:ascii="Times New Roman" w:hAnsi="Times New Roman"/>
              </w:rPr>
              <w:t>jętych</w:t>
            </w:r>
            <w:r w:rsidR="000C7653" w:rsidRPr="009F00FC">
              <w:rPr>
                <w:rFonts w:ascii="Times New Roman" w:hAnsi="Times New Roman"/>
              </w:rPr>
              <w:t xml:space="preserve"> obecnie obowiązkiem uzyskania pozw</w:t>
            </w:r>
            <w:r w:rsidR="002D09FD" w:rsidRPr="009F00FC">
              <w:rPr>
                <w:rFonts w:ascii="Times New Roman" w:hAnsi="Times New Roman"/>
              </w:rPr>
              <w:t>o</w:t>
            </w:r>
            <w:r w:rsidR="000C7653" w:rsidRPr="009F00FC">
              <w:rPr>
                <w:rFonts w:ascii="Times New Roman" w:hAnsi="Times New Roman"/>
              </w:rPr>
              <w:t>lenia zintegrowanego przede wszystkim o następujące rodzaje działalności:</w:t>
            </w:r>
          </w:p>
          <w:p w14:paraId="09BF9B29" w14:textId="5A797AC8" w:rsidR="000C7653" w:rsidRPr="009F00FC" w:rsidRDefault="000C7653" w:rsidP="002B13D9">
            <w:pPr>
              <w:spacing w:after="120" w:line="240" w:lineRule="auto"/>
              <w:ind w:left="380" w:firstLine="2"/>
              <w:jc w:val="both"/>
              <w:rPr>
                <w:rFonts w:ascii="Times New Roman" w:hAnsi="Times New Roman"/>
              </w:rPr>
            </w:pPr>
            <w:r w:rsidRPr="009F00FC">
              <w:rPr>
                <w:rFonts w:ascii="Times New Roman" w:hAnsi="Times New Roman"/>
              </w:rPr>
              <w:t>- Wytwarzanie baterii, inne niż wyłącznie montaż, o zdolności produkcyjnej co najmniej 15 000 ton ogniw baterii</w:t>
            </w:r>
            <w:r w:rsidR="00401379" w:rsidRPr="009F00FC">
              <w:rPr>
                <w:rFonts w:ascii="Times New Roman" w:hAnsi="Times New Roman"/>
              </w:rPr>
              <w:t xml:space="preserve"> </w:t>
            </w:r>
            <w:r w:rsidRPr="009F00FC">
              <w:rPr>
                <w:rFonts w:ascii="Times New Roman" w:hAnsi="Times New Roman"/>
              </w:rPr>
              <w:t xml:space="preserve">(katoda, anoda, elektrolit, separator, osłona) rocznie. </w:t>
            </w:r>
          </w:p>
          <w:p w14:paraId="19A9B234" w14:textId="655599E3" w:rsidR="000C7653" w:rsidRPr="009F00FC" w:rsidRDefault="000C7653" w:rsidP="002B13D9">
            <w:pPr>
              <w:spacing w:after="120" w:line="240" w:lineRule="auto"/>
              <w:ind w:left="380" w:firstLine="2"/>
              <w:jc w:val="both"/>
              <w:rPr>
                <w:rFonts w:ascii="Times New Roman" w:hAnsi="Times New Roman"/>
              </w:rPr>
            </w:pPr>
            <w:r w:rsidRPr="009F00FC">
              <w:rPr>
                <w:rFonts w:ascii="Times New Roman" w:hAnsi="Times New Roman"/>
              </w:rPr>
              <w:t>- Wydobycie, w tym przetwarzanie na miejscu, takie jak rozdrabnianie, kontrola wielkości, wzbogacanie</w:t>
            </w:r>
            <w:r w:rsidR="00401379" w:rsidRPr="009F00FC">
              <w:rPr>
                <w:rFonts w:ascii="Times New Roman" w:hAnsi="Times New Roman"/>
              </w:rPr>
              <w:t xml:space="preserve"> </w:t>
            </w:r>
            <w:r w:rsidRPr="009F00FC">
              <w:rPr>
                <w:rFonts w:ascii="Times New Roman" w:hAnsi="Times New Roman"/>
              </w:rPr>
              <w:t xml:space="preserve">i uszlachetnianie, następujących rud na skalę przemysłową: boksyt, chrom, kobalt, miedź, złoto, żelazo, ołów, lit, mangan, nikiel, pallad, platyna, cyna, wolfram i cynk. </w:t>
            </w:r>
          </w:p>
          <w:p w14:paraId="75CFF8CB" w14:textId="63A28AB3" w:rsidR="00741E65" w:rsidRDefault="00AC6AE3" w:rsidP="002B13D9">
            <w:pPr>
              <w:spacing w:after="120" w:line="240" w:lineRule="auto"/>
              <w:ind w:left="380"/>
              <w:jc w:val="both"/>
              <w:rPr>
                <w:rFonts w:ascii="Times New Roman" w:hAnsi="Times New Roman"/>
              </w:rPr>
            </w:pPr>
            <w:r>
              <w:rPr>
                <w:rFonts w:ascii="Times New Roman" w:hAnsi="Times New Roman"/>
              </w:rPr>
              <w:lastRenderedPageBreak/>
              <w:t>Z</w:t>
            </w:r>
            <w:r w:rsidR="000C7653" w:rsidRPr="009F00FC">
              <w:rPr>
                <w:rFonts w:ascii="Times New Roman" w:hAnsi="Times New Roman"/>
              </w:rPr>
              <w:t>asadne jest wprowadzenie drobnych zmian w zakresie opisu branż objętych już obowiązkiem uzyskania pozw</w:t>
            </w:r>
            <w:r w:rsidR="002D09FD" w:rsidRPr="009F00FC">
              <w:rPr>
                <w:rFonts w:ascii="Times New Roman" w:hAnsi="Times New Roman"/>
              </w:rPr>
              <w:t>ole</w:t>
            </w:r>
            <w:r w:rsidR="000C7653" w:rsidRPr="009F00FC">
              <w:rPr>
                <w:rFonts w:ascii="Times New Roman" w:hAnsi="Times New Roman"/>
              </w:rPr>
              <w:t xml:space="preserve">nia zintegrowanego na podstawie dyrektywy 2010/75/UE aby objąć </w:t>
            </w:r>
            <w:r w:rsidR="00401379" w:rsidRPr="009F00FC">
              <w:rPr>
                <w:rFonts w:ascii="Times New Roman" w:hAnsi="Times New Roman"/>
              </w:rPr>
              <w:t xml:space="preserve">procesy technologiczne </w:t>
            </w:r>
            <w:r w:rsidR="000C7653" w:rsidRPr="009F00FC">
              <w:rPr>
                <w:rFonts w:ascii="Times New Roman" w:hAnsi="Times New Roman"/>
              </w:rPr>
              <w:t>istotne z punktu w</w:t>
            </w:r>
            <w:r w:rsidR="00401379" w:rsidRPr="009F00FC">
              <w:rPr>
                <w:rFonts w:ascii="Times New Roman" w:hAnsi="Times New Roman"/>
              </w:rPr>
              <w:t>i</w:t>
            </w:r>
            <w:r w:rsidR="000C7653" w:rsidRPr="009F00FC">
              <w:rPr>
                <w:rFonts w:ascii="Times New Roman" w:hAnsi="Times New Roman"/>
              </w:rPr>
              <w:t xml:space="preserve">dzenia </w:t>
            </w:r>
            <w:r w:rsidR="00401379" w:rsidRPr="009F00FC">
              <w:rPr>
                <w:rFonts w:ascii="Times New Roman" w:hAnsi="Times New Roman"/>
              </w:rPr>
              <w:t xml:space="preserve">ochrony </w:t>
            </w:r>
            <w:r w:rsidR="000C7653" w:rsidRPr="009F00FC">
              <w:rPr>
                <w:rFonts w:ascii="Times New Roman" w:hAnsi="Times New Roman"/>
              </w:rPr>
              <w:t xml:space="preserve">środowiska. </w:t>
            </w:r>
          </w:p>
          <w:p w14:paraId="09ED9E79" w14:textId="6150412E" w:rsidR="00E1662E" w:rsidRDefault="00741E65" w:rsidP="002B13D9">
            <w:pPr>
              <w:spacing w:after="120" w:line="240" w:lineRule="auto"/>
              <w:ind w:left="380"/>
              <w:jc w:val="both"/>
              <w:rPr>
                <w:rFonts w:ascii="Times New Roman" w:hAnsi="Times New Roman"/>
              </w:rPr>
            </w:pPr>
            <w:r>
              <w:rPr>
                <w:rFonts w:ascii="Times New Roman" w:hAnsi="Times New Roman"/>
              </w:rPr>
              <w:t>Z rodzajami instalacji wymagający</w:t>
            </w:r>
            <w:r w:rsidR="00E1662E">
              <w:rPr>
                <w:rFonts w:ascii="Times New Roman" w:hAnsi="Times New Roman"/>
              </w:rPr>
              <w:t>mi</w:t>
            </w:r>
            <w:r>
              <w:rPr>
                <w:rFonts w:ascii="Times New Roman" w:hAnsi="Times New Roman"/>
              </w:rPr>
              <w:t xml:space="preserve"> uzyskania pozwolenia zintegrowanego ściśle powiązana jest kwestia kompetencji organów ochrony środowiska, w zakresie wydawania tych pozwoleń. </w:t>
            </w:r>
            <w:r w:rsidR="00E1662E">
              <w:rPr>
                <w:rFonts w:ascii="Times New Roman" w:hAnsi="Times New Roman"/>
              </w:rPr>
              <w:t xml:space="preserve">Dodanie nowych branż jak również zmiana sposobu liczenia wielkości obsady instalacji do chowu drobiu lub świń może dodatkowo skomplikować wskazanie organu właściwego do wydania pozwolenia zintegrowanego w oparciu o istniejące przepisy. </w:t>
            </w:r>
            <w:r w:rsidR="00F65675">
              <w:rPr>
                <w:rFonts w:ascii="Times New Roman" w:hAnsi="Times New Roman"/>
              </w:rPr>
              <w:t xml:space="preserve">Kompetencje organów ochrony środowiska w zakresie wydawania pozwoleń zintegrowanych oparte są na kwalifikacji instalacji, do któregoś z rodzajów przedsięwzięć wymienionych w rozporządzeniu </w:t>
            </w:r>
            <w:r w:rsidR="00F65675" w:rsidRPr="0096535B">
              <w:rPr>
                <w:rFonts w:ascii="Times New Roman" w:hAnsi="Times New Roman"/>
              </w:rPr>
              <w:t>Rady Ministrów z dnia 10 września 2019 r. w sprawie przedsięwzięć mogących znacząco oddziaływać na środowisko</w:t>
            </w:r>
            <w:r w:rsidR="00F65675">
              <w:rPr>
                <w:rFonts w:ascii="Times New Roman" w:hAnsi="Times New Roman"/>
              </w:rPr>
              <w:t xml:space="preserve"> (Dz. U. z 2019 r. poz. 1839). Natomiast rodzaje instalacji wymagających uzyskania pozwolenia zintegrowanego wskazano w rozporządzeniu </w:t>
            </w:r>
            <w:r w:rsidR="00F65675" w:rsidRPr="006C4881">
              <w:rPr>
                <w:rFonts w:ascii="Times New Roman" w:hAnsi="Times New Roman"/>
              </w:rPr>
              <w:t>Ministra Środowiska z dnia 27 sierpnia 2014 r. w sprawie rodzajów instalacji mogących powodować znaczne zanieczyszczenie poszczególnych elementów przyrodniczych albo środowiska jako całości</w:t>
            </w:r>
            <w:r w:rsidR="00F65675">
              <w:rPr>
                <w:rFonts w:ascii="Times New Roman" w:hAnsi="Times New Roman"/>
              </w:rPr>
              <w:t xml:space="preserve"> (Dz. U. z 2014 r. poz. 1169). Zmiany następujące na przestrzeni lat w przepisach UE powodują, że zakresy tych dwóch aktów prawnych stają się coraz mniej spójne, co z kolei prowadzi do wątpliwości w zakresie właściwości organu do wydania pozwolenia zintegrowanego. Taki stan rzeczy może prowadzić do sporów kompetencyjnych, wydłużających czas trwania postępowania administracyjnego lub nawet udzielenia pozwolenia przez niewłaściwy organ, co z kolei  jest podstawą do stwierdzenia nieważności takiej decyzji</w:t>
            </w:r>
          </w:p>
          <w:p w14:paraId="28FB3D11" w14:textId="278BA717" w:rsidR="00125BAD" w:rsidRPr="009F00FC" w:rsidRDefault="00125BAD" w:rsidP="002B13D9">
            <w:pPr>
              <w:numPr>
                <w:ilvl w:val="0"/>
                <w:numId w:val="18"/>
              </w:numPr>
              <w:tabs>
                <w:tab w:val="left" w:pos="320"/>
              </w:tabs>
              <w:spacing w:after="120" w:line="240" w:lineRule="auto"/>
              <w:jc w:val="both"/>
              <w:rPr>
                <w:rFonts w:ascii="Times New Roman" w:hAnsi="Times New Roman"/>
                <w:b/>
                <w:bCs/>
                <w:u w:val="single"/>
              </w:rPr>
            </w:pPr>
            <w:bookmarkStart w:id="8" w:name="_Hlk157678059"/>
            <w:r w:rsidRPr="009F00FC">
              <w:rPr>
                <w:rFonts w:ascii="Times New Roman" w:hAnsi="Times New Roman"/>
                <w:b/>
                <w:bCs/>
                <w:u w:val="single"/>
              </w:rPr>
              <w:t>Szczególne przepisy dot. chowu i hodowli świń i drobiu</w:t>
            </w:r>
          </w:p>
          <w:p w14:paraId="4951B7BD" w14:textId="4B1A9269" w:rsidR="00481B37" w:rsidRPr="009F00FC" w:rsidRDefault="000C7653" w:rsidP="002B13D9">
            <w:pPr>
              <w:tabs>
                <w:tab w:val="left" w:pos="320"/>
              </w:tabs>
              <w:spacing w:after="120" w:line="240" w:lineRule="auto"/>
              <w:ind w:left="386"/>
              <w:jc w:val="both"/>
              <w:rPr>
                <w:rFonts w:ascii="Times New Roman" w:hAnsi="Times New Roman"/>
              </w:rPr>
            </w:pPr>
            <w:r w:rsidRPr="009F00FC">
              <w:rPr>
                <w:rFonts w:ascii="Times New Roman" w:hAnsi="Times New Roman"/>
              </w:rPr>
              <w:t>Obowiązujące przepisy dotyczące pozwoleń zintegrowanych obejmują także wielkoskalowy chów lub hodowlę drobiu lub świń</w:t>
            </w:r>
            <w:r w:rsidR="00481B37" w:rsidRPr="009F00FC">
              <w:rPr>
                <w:rFonts w:ascii="Times New Roman" w:hAnsi="Times New Roman"/>
              </w:rPr>
              <w:t>. Instalacje te mogą w sposób istotny oddziaływać na środowisko</w:t>
            </w:r>
            <w:r w:rsidRPr="009F00FC">
              <w:rPr>
                <w:rFonts w:ascii="Times New Roman" w:hAnsi="Times New Roman"/>
              </w:rPr>
              <w:t xml:space="preserve"> </w:t>
            </w:r>
            <w:r w:rsidR="00481B37" w:rsidRPr="009F00FC">
              <w:rPr>
                <w:rFonts w:ascii="Times New Roman" w:hAnsi="Times New Roman"/>
              </w:rPr>
              <w:t xml:space="preserve">jednak charakter działalności odbiega od typowych procesów przemysłowych. Dlatego też aby umożliwić ukierunkowane podejście do ograniczania presji środowiskowych powodowanych przez instalacje chowu lub hodowli opracowane zostaną jednolite (dla całej UE) zasady operacyjne określające wymagania </w:t>
            </w:r>
            <w:r w:rsidR="00C95285" w:rsidRPr="009F00FC">
              <w:rPr>
                <w:rFonts w:ascii="Times New Roman" w:hAnsi="Times New Roman"/>
              </w:rPr>
              <w:t>dla</w:t>
            </w:r>
            <w:r w:rsidR="00481B37" w:rsidRPr="009F00FC">
              <w:rPr>
                <w:rFonts w:ascii="Times New Roman" w:hAnsi="Times New Roman"/>
              </w:rPr>
              <w:t xml:space="preserve"> operatorów takich instalacji. </w:t>
            </w:r>
            <w:r w:rsidR="0029341D">
              <w:rPr>
                <w:rFonts w:ascii="Times New Roman" w:hAnsi="Times New Roman"/>
              </w:rPr>
              <w:t>Należy też zwrócić uwagę, że instalacje do chowu lub hodowli zwierząt stanowią najliczniejszą branżę spośród tych objętych obowiązkiem uzyskania pozwolenia zintegrowanego</w:t>
            </w:r>
            <w:r w:rsidR="00610E6A">
              <w:rPr>
                <w:rFonts w:ascii="Times New Roman" w:hAnsi="Times New Roman"/>
              </w:rPr>
              <w:t>, co przekłada się w istotny sposób na obciążenia dla organów wydających pozwolenia zintegrowane</w:t>
            </w:r>
            <w:r w:rsidR="0029341D">
              <w:rPr>
                <w:rFonts w:ascii="Times New Roman" w:hAnsi="Times New Roman"/>
              </w:rPr>
              <w:t xml:space="preserve">. </w:t>
            </w:r>
          </w:p>
          <w:p w14:paraId="6A588403" w14:textId="1256F4DB" w:rsidR="00B95B07" w:rsidRPr="009F00FC" w:rsidRDefault="00CE7548" w:rsidP="002B13D9">
            <w:pPr>
              <w:numPr>
                <w:ilvl w:val="0"/>
                <w:numId w:val="18"/>
              </w:numPr>
              <w:tabs>
                <w:tab w:val="left" w:pos="320"/>
              </w:tabs>
              <w:spacing w:after="120" w:line="240" w:lineRule="auto"/>
              <w:jc w:val="both"/>
              <w:rPr>
                <w:rFonts w:ascii="Times New Roman" w:hAnsi="Times New Roman"/>
                <w:b/>
                <w:bCs/>
                <w:u w:val="single"/>
              </w:rPr>
            </w:pPr>
            <w:r w:rsidRPr="009F00FC">
              <w:rPr>
                <w:rFonts w:ascii="Times New Roman" w:hAnsi="Times New Roman"/>
                <w:b/>
                <w:bCs/>
                <w:u w:val="single"/>
              </w:rPr>
              <w:t>Odstępstwa w sytuacjach kryzysowych/ siły wyższej</w:t>
            </w:r>
            <w:bookmarkEnd w:id="8"/>
          </w:p>
          <w:p w14:paraId="49C3C261" w14:textId="0288ABED" w:rsidR="00590A23" w:rsidRDefault="00590A23" w:rsidP="002B13D9">
            <w:pPr>
              <w:tabs>
                <w:tab w:val="left" w:pos="320"/>
              </w:tabs>
              <w:spacing w:after="120" w:line="240" w:lineRule="auto"/>
              <w:ind w:left="318"/>
              <w:jc w:val="both"/>
              <w:rPr>
                <w:rFonts w:ascii="Times New Roman" w:hAnsi="Times New Roman"/>
              </w:rPr>
            </w:pPr>
            <w:r w:rsidRPr="009F00FC">
              <w:rPr>
                <w:rFonts w:ascii="Times New Roman" w:hAnsi="Times New Roman"/>
              </w:rPr>
              <w:t xml:space="preserve">W ostatnich latach Polskę, jak i całą Unię Europejską dotknęły sytuacje kryzysowe takiej jak pandemia COVID-19 i napaść zbrojna Rosji na Ukrainę. Kryzysy te wpłynęły na dostawy energii i zasobów, materiałów lub sprzętu. </w:t>
            </w:r>
            <w:r w:rsidR="006A349F">
              <w:rPr>
                <w:rFonts w:ascii="Times New Roman" w:hAnsi="Times New Roman"/>
              </w:rPr>
              <w:br/>
            </w:r>
            <w:r w:rsidRPr="009F00FC">
              <w:rPr>
                <w:rFonts w:ascii="Times New Roman" w:hAnsi="Times New Roman"/>
              </w:rPr>
              <w:t>W przypadku takich kryzysów niezbędne było zapewnienie ciągłości eksploatacji instalacji, co skutkowało koniecznością ustalenia dopuszczalnych wielkości emisji na niższym poziomie.</w:t>
            </w:r>
          </w:p>
          <w:p w14:paraId="317DA6F6" w14:textId="137FF396" w:rsidR="00B56DBC" w:rsidRPr="00B56DBC" w:rsidRDefault="00B56DBC" w:rsidP="002B13D9">
            <w:pPr>
              <w:pStyle w:val="Akapitzlist"/>
              <w:numPr>
                <w:ilvl w:val="0"/>
                <w:numId w:val="18"/>
              </w:numPr>
              <w:tabs>
                <w:tab w:val="left" w:pos="320"/>
              </w:tabs>
              <w:spacing w:after="120" w:line="240" w:lineRule="auto"/>
              <w:jc w:val="both"/>
              <w:rPr>
                <w:rFonts w:ascii="Times New Roman" w:hAnsi="Times New Roman"/>
                <w:b/>
                <w:bCs/>
                <w:u w:val="single"/>
              </w:rPr>
            </w:pPr>
            <w:r w:rsidRPr="00B56DBC">
              <w:rPr>
                <w:rFonts w:ascii="Times New Roman" w:hAnsi="Times New Roman"/>
                <w:b/>
                <w:bCs/>
                <w:u w:val="single"/>
              </w:rPr>
              <w:t>Inne zmiany</w:t>
            </w:r>
            <w:r w:rsidR="00124932">
              <w:rPr>
                <w:rFonts w:ascii="Times New Roman" w:hAnsi="Times New Roman"/>
                <w:b/>
                <w:bCs/>
                <w:u w:val="single"/>
              </w:rPr>
              <w:t xml:space="preserve"> doprecyzowujące funkcjonujące już </w:t>
            </w:r>
            <w:r w:rsidRPr="00B56DBC">
              <w:rPr>
                <w:rFonts w:ascii="Times New Roman" w:hAnsi="Times New Roman"/>
                <w:b/>
                <w:bCs/>
                <w:u w:val="single"/>
              </w:rPr>
              <w:t xml:space="preserve"> </w:t>
            </w:r>
            <w:r w:rsidR="00124932">
              <w:rPr>
                <w:rFonts w:ascii="Times New Roman" w:hAnsi="Times New Roman"/>
                <w:b/>
                <w:bCs/>
                <w:u w:val="single"/>
              </w:rPr>
              <w:t>defi</w:t>
            </w:r>
            <w:r w:rsidR="006A349F">
              <w:rPr>
                <w:rFonts w:ascii="Times New Roman" w:hAnsi="Times New Roman"/>
                <w:b/>
                <w:bCs/>
                <w:u w:val="single"/>
              </w:rPr>
              <w:t>ni</w:t>
            </w:r>
            <w:r w:rsidR="00124932">
              <w:rPr>
                <w:rFonts w:ascii="Times New Roman" w:hAnsi="Times New Roman"/>
                <w:b/>
                <w:bCs/>
                <w:u w:val="single"/>
              </w:rPr>
              <w:t>cje i procedury</w:t>
            </w:r>
          </w:p>
          <w:p w14:paraId="5D542D82" w14:textId="6D2AA3C3" w:rsidR="002C4E7D" w:rsidRPr="00AC6AE3" w:rsidRDefault="00B56DBC" w:rsidP="002B13D9">
            <w:pPr>
              <w:pStyle w:val="Akapitzlist"/>
              <w:tabs>
                <w:tab w:val="left" w:pos="320"/>
              </w:tabs>
              <w:spacing w:after="120" w:line="240" w:lineRule="auto"/>
              <w:ind w:left="386"/>
              <w:contextualSpacing w:val="0"/>
              <w:jc w:val="both"/>
              <w:rPr>
                <w:rFonts w:ascii="Times New Roman" w:hAnsi="Times New Roman"/>
                <w:bCs/>
              </w:rPr>
            </w:pPr>
            <w:r>
              <w:rPr>
                <w:rFonts w:ascii="Times New Roman" w:hAnsi="Times New Roman"/>
              </w:rPr>
              <w:t>Zidentyfikowano</w:t>
            </w:r>
            <w:r w:rsidR="00741E65">
              <w:rPr>
                <w:rFonts w:ascii="Times New Roman" w:hAnsi="Times New Roman"/>
              </w:rPr>
              <w:t xml:space="preserve"> m.in.</w:t>
            </w:r>
            <w:r>
              <w:rPr>
                <w:rFonts w:ascii="Times New Roman" w:hAnsi="Times New Roman"/>
              </w:rPr>
              <w:t xml:space="preserve"> konieczność doprecyzowania definicji zanieczyszczenia </w:t>
            </w:r>
            <w:r w:rsidR="006A349F">
              <w:rPr>
                <w:rFonts w:ascii="Times New Roman" w:hAnsi="Times New Roman"/>
              </w:rPr>
              <w:t>jak również zasad oceny jakie emisje s</w:t>
            </w:r>
            <w:r w:rsidR="00AC6AE3">
              <w:rPr>
                <w:rFonts w:ascii="Times New Roman" w:hAnsi="Times New Roman"/>
              </w:rPr>
              <w:t>ą</w:t>
            </w:r>
            <w:r w:rsidR="006A349F">
              <w:rPr>
                <w:rFonts w:ascii="Times New Roman" w:hAnsi="Times New Roman"/>
              </w:rPr>
              <w:t xml:space="preserve"> znaczące i kiedy należy je regulować w pozwoleniu zintegrowanym. </w:t>
            </w:r>
          </w:p>
          <w:p w14:paraId="304690A0" w14:textId="1FC2B43A" w:rsidR="00154EC6" w:rsidRPr="00A2619E" w:rsidRDefault="008F47E6" w:rsidP="002B13D9">
            <w:pPr>
              <w:spacing w:after="120" w:line="240" w:lineRule="auto"/>
              <w:ind w:left="24"/>
              <w:jc w:val="both"/>
              <w:rPr>
                <w:rFonts w:ascii="Times New Roman" w:hAnsi="Times New Roman"/>
              </w:rPr>
            </w:pPr>
            <w:r>
              <w:rPr>
                <w:rFonts w:ascii="Times New Roman" w:eastAsia="Times New Roman" w:hAnsi="Times New Roman"/>
                <w:b/>
                <w:bCs/>
                <w:u w:val="single"/>
              </w:rPr>
              <w:t xml:space="preserve">II. </w:t>
            </w:r>
            <w:r w:rsidR="00154EC6" w:rsidRPr="00A2619E">
              <w:rPr>
                <w:rFonts w:ascii="Times New Roman" w:eastAsia="Times New Roman" w:hAnsi="Times New Roman"/>
                <w:b/>
                <w:bCs/>
                <w:u w:val="single"/>
              </w:rPr>
              <w:t>Zmiany wynikające z naruszenia</w:t>
            </w:r>
            <w:r w:rsidR="00D84E3E" w:rsidRPr="00A2619E">
              <w:rPr>
                <w:rFonts w:ascii="Times New Roman" w:eastAsia="Times New Roman" w:hAnsi="Times New Roman"/>
                <w:b/>
                <w:bCs/>
                <w:u w:val="single"/>
              </w:rPr>
              <w:t xml:space="preserve"> nr 2023/2173</w:t>
            </w:r>
            <w:r>
              <w:rPr>
                <w:rFonts w:ascii="Times New Roman" w:eastAsia="Times New Roman" w:hAnsi="Times New Roman"/>
                <w:b/>
                <w:bCs/>
                <w:u w:val="single"/>
              </w:rPr>
              <w:t>:</w:t>
            </w:r>
          </w:p>
          <w:p w14:paraId="1EEB503A" w14:textId="4BBCB49A" w:rsidR="00D84E3E" w:rsidRPr="009F00FC" w:rsidRDefault="00D84E3E" w:rsidP="002B13D9">
            <w:pPr>
              <w:spacing w:after="120" w:line="240" w:lineRule="auto"/>
              <w:ind w:left="24"/>
              <w:jc w:val="both"/>
              <w:rPr>
                <w:rFonts w:ascii="Times New Roman" w:hAnsi="Times New Roman"/>
              </w:rPr>
            </w:pPr>
            <w:r w:rsidRPr="009F00FC">
              <w:rPr>
                <w:rFonts w:ascii="Times New Roman" w:hAnsi="Times New Roman"/>
              </w:rPr>
              <w:t>7 lutego 2024 r. Komisja Europejska wystosowała zarzuty formalne (naruszenie nr 2023/2173) dotyczące uchybienia zobowiązaniom wynikającym z przepisów dyrektywy 2010/75/UE. Po dokonanej analizie zarzutów Polska na tym etapie przychyliła się do zmiany przepisów ustawy – Prawo ochrony środowiska w zakresie następujących zarzutów:</w:t>
            </w:r>
          </w:p>
          <w:p w14:paraId="0119A7E8" w14:textId="6E3C6ABF" w:rsidR="00D84E3E" w:rsidRPr="00570B95" w:rsidRDefault="00D84E3E" w:rsidP="002B13D9">
            <w:pPr>
              <w:spacing w:after="120" w:line="240" w:lineRule="auto"/>
              <w:jc w:val="both"/>
              <w:rPr>
                <w:rFonts w:ascii="Times New Roman" w:hAnsi="Times New Roman"/>
              </w:rPr>
            </w:pPr>
            <w:r w:rsidRPr="00570B95">
              <w:rPr>
                <w:rFonts w:ascii="Times New Roman" w:hAnsi="Times New Roman"/>
                <w:b/>
                <w:bCs/>
              </w:rPr>
              <w:t xml:space="preserve">Zarzut nr 3.24. Brak transpozycji art. 14 ust. 5 akapit pierwszy dyrektywy 2010/75/UE </w:t>
            </w:r>
            <w:r w:rsidRPr="00570B95">
              <w:rPr>
                <w:rFonts w:ascii="Times New Roman" w:hAnsi="Times New Roman"/>
              </w:rPr>
              <w:t xml:space="preserve">- art. 14 ust. 5 akapit pierwszy dyrektywy 2010/75/UE został transponowany do art. 207 ust. 1 pkt 1–5 i ust. 1a ustawy </w:t>
            </w:r>
            <w:r w:rsidR="00401379" w:rsidRPr="00570B95">
              <w:rPr>
                <w:rFonts w:ascii="Times New Roman" w:hAnsi="Times New Roman"/>
              </w:rPr>
              <w:t>Poś</w:t>
            </w:r>
            <w:r w:rsidRPr="00570B95">
              <w:rPr>
                <w:rFonts w:ascii="Times New Roman" w:hAnsi="Times New Roman"/>
              </w:rPr>
              <w:t xml:space="preserve">, zgodnie z którym przy określaniu najlepszych dostępnych technik bierze się pod uwagę wymagania, o których mowa w art. 143 </w:t>
            </w:r>
            <w:r w:rsidR="00401379" w:rsidRPr="00570B95">
              <w:rPr>
                <w:rFonts w:ascii="Times New Roman" w:hAnsi="Times New Roman"/>
              </w:rPr>
              <w:t>Poś</w:t>
            </w:r>
            <w:r w:rsidRPr="00570B95">
              <w:rPr>
                <w:rFonts w:ascii="Times New Roman" w:hAnsi="Times New Roman"/>
              </w:rPr>
              <w:t xml:space="preserve">. Oba te przepisy zawierają kryteria wymienione w załączniku III dyrektywy 2010/75/UE. Zgodność z wymogami art. 15 dyrektywy 2010/75/UE określono w art. 204 ust. 1 i ust. 4 </w:t>
            </w:r>
            <w:r w:rsidR="00401379" w:rsidRPr="00570B95">
              <w:rPr>
                <w:rFonts w:ascii="Times New Roman" w:hAnsi="Times New Roman"/>
              </w:rPr>
              <w:t>Poś</w:t>
            </w:r>
            <w:r w:rsidRPr="00570B95">
              <w:rPr>
                <w:rFonts w:ascii="Times New Roman" w:hAnsi="Times New Roman"/>
              </w:rPr>
              <w:t xml:space="preserve">. </w:t>
            </w:r>
          </w:p>
          <w:p w14:paraId="31CC803F" w14:textId="19C689B9" w:rsidR="00D84E3E" w:rsidRPr="00570B95" w:rsidRDefault="00C233FB" w:rsidP="002B13D9">
            <w:pPr>
              <w:spacing w:after="120" w:line="240" w:lineRule="auto"/>
              <w:jc w:val="both"/>
              <w:rPr>
                <w:rFonts w:ascii="Times New Roman" w:hAnsi="Times New Roman"/>
                <w:b/>
                <w:bCs/>
              </w:rPr>
            </w:pPr>
            <w:r w:rsidRPr="00570B95">
              <w:rPr>
                <w:rFonts w:ascii="Times New Roman" w:hAnsi="Times New Roman"/>
                <w:b/>
                <w:bCs/>
              </w:rPr>
              <w:t xml:space="preserve">Zarzut nr 3.25. Nieprawidłowa transpozycja art. 14 ust. 6 dyrektywy 2010/75/UE </w:t>
            </w:r>
            <w:r w:rsidRPr="00570B95">
              <w:rPr>
                <w:rFonts w:ascii="Times New Roman" w:hAnsi="Times New Roman"/>
              </w:rPr>
              <w:t xml:space="preserve">- Przepis ten został przetransponowany do polskiego prawa w art. 204 ust. 1 </w:t>
            </w:r>
            <w:r w:rsidR="00401379" w:rsidRPr="00570B95">
              <w:rPr>
                <w:rFonts w:ascii="Times New Roman" w:hAnsi="Times New Roman"/>
              </w:rPr>
              <w:t>Poś</w:t>
            </w:r>
            <w:r w:rsidRPr="00570B95">
              <w:rPr>
                <w:rFonts w:ascii="Times New Roman" w:hAnsi="Times New Roman"/>
              </w:rPr>
              <w:t xml:space="preserve">, natomiast kryteria ustalania najlepszych dostępnych technik zamieszczone w załączniku III dyrektywy 2010/75/UE zostały transponowane do art. 207 ust. 1 i ust 1a </w:t>
            </w:r>
            <w:r w:rsidR="00401379" w:rsidRPr="00570B95">
              <w:rPr>
                <w:rFonts w:ascii="Times New Roman" w:hAnsi="Times New Roman"/>
              </w:rPr>
              <w:t>Poś</w:t>
            </w:r>
            <w:r w:rsidRPr="00570B95">
              <w:rPr>
                <w:rFonts w:ascii="Times New Roman" w:hAnsi="Times New Roman"/>
              </w:rPr>
              <w:t xml:space="preserve">. Art. 207 ust. 1a odwołuje się do art. 143. </w:t>
            </w:r>
          </w:p>
          <w:p w14:paraId="3ADE2380" w14:textId="4076123B" w:rsidR="00DB2523" w:rsidRPr="00570B95" w:rsidRDefault="002B3FA0" w:rsidP="002B13D9">
            <w:pPr>
              <w:spacing w:after="120" w:line="240" w:lineRule="auto"/>
              <w:jc w:val="both"/>
              <w:rPr>
                <w:rFonts w:ascii="Times New Roman" w:hAnsi="Times New Roman"/>
                <w:b/>
                <w:bCs/>
              </w:rPr>
            </w:pPr>
            <w:r w:rsidRPr="00570B95">
              <w:rPr>
                <w:rFonts w:ascii="Times New Roman" w:hAnsi="Times New Roman"/>
                <w:b/>
                <w:bCs/>
              </w:rPr>
              <w:t>Zarzut nr 3.28. Nieprawidłowa transpozycja art. 15 ust. 4 lit a) i b) dyrektywy 2010/75/UE</w:t>
            </w:r>
            <w:r w:rsidRPr="00570B95">
              <w:rPr>
                <w:rFonts w:ascii="Times New Roman" w:hAnsi="Times New Roman"/>
              </w:rPr>
              <w:t xml:space="preserve"> -</w:t>
            </w:r>
            <w:r w:rsidRPr="00570B95">
              <w:rPr>
                <w:rFonts w:ascii="Times New Roman" w:hAnsi="Times New Roman"/>
                <w:b/>
                <w:bCs/>
              </w:rPr>
              <w:t xml:space="preserve"> </w:t>
            </w:r>
            <w:r w:rsidRPr="00570B95">
              <w:rPr>
                <w:rFonts w:ascii="Times New Roman" w:hAnsi="Times New Roman"/>
              </w:rPr>
              <w:t xml:space="preserve">wątpliwość Komisji Europejskiej dotyczy dodania kryterium oceny udzielenia odstępstwa przez organ właściwy do wydania pozwolenia zintegrowanego, jakim są inne czynniki mające wpływ na funkcjonowanie instalacji i środowisko jako całość. </w:t>
            </w:r>
          </w:p>
          <w:p w14:paraId="09E7949F" w14:textId="4B0DEF8F" w:rsidR="002B3FA0" w:rsidRPr="00570B95" w:rsidRDefault="002B3FA0" w:rsidP="002B13D9">
            <w:pPr>
              <w:spacing w:after="120" w:line="240" w:lineRule="auto"/>
              <w:jc w:val="both"/>
              <w:rPr>
                <w:rFonts w:ascii="Times New Roman" w:hAnsi="Times New Roman"/>
                <w:b/>
                <w:bCs/>
              </w:rPr>
            </w:pPr>
            <w:r w:rsidRPr="00570B95">
              <w:rPr>
                <w:rFonts w:ascii="Times New Roman" w:hAnsi="Times New Roman"/>
                <w:b/>
                <w:bCs/>
              </w:rPr>
              <w:t xml:space="preserve">Zarzut nr 3.33. Brak transpozycji art. 21 ust. 2 akapit drugi dyrektywy 2010/75/UE </w:t>
            </w:r>
            <w:r w:rsidRPr="00570B95">
              <w:rPr>
                <w:rFonts w:ascii="Times New Roman" w:hAnsi="Times New Roman"/>
              </w:rPr>
              <w:t xml:space="preserve">- </w:t>
            </w:r>
            <w:r w:rsidR="00041289" w:rsidRPr="00570B95">
              <w:rPr>
                <w:rFonts w:ascii="Times New Roman" w:hAnsi="Times New Roman"/>
              </w:rPr>
              <w:t xml:space="preserve">Zgodnie z art. 215 ust. 2 pkt 2 </w:t>
            </w:r>
            <w:r w:rsidR="00401379" w:rsidRPr="00570B95">
              <w:rPr>
                <w:rFonts w:ascii="Times New Roman" w:hAnsi="Times New Roman"/>
              </w:rPr>
              <w:t>Poś</w:t>
            </w:r>
            <w:r w:rsidR="00041289" w:rsidRPr="00570B95">
              <w:rPr>
                <w:rFonts w:ascii="Times New Roman" w:hAnsi="Times New Roman"/>
              </w:rPr>
              <w:t xml:space="preserve"> organ w celu przeprowadzenia analizy może zażądać od prowadzącego instalację przedłożenia niezbędnych informacji, w szczególności wyników monitorowania procesów technologicznych. </w:t>
            </w:r>
          </w:p>
          <w:p w14:paraId="1C63B4A2" w14:textId="77777777" w:rsidR="00041289" w:rsidRPr="00570B95" w:rsidRDefault="00041289" w:rsidP="002B13D9">
            <w:pPr>
              <w:spacing w:after="120" w:line="240" w:lineRule="auto"/>
              <w:jc w:val="both"/>
              <w:rPr>
                <w:rFonts w:ascii="Times New Roman" w:hAnsi="Times New Roman"/>
                <w:b/>
                <w:bCs/>
              </w:rPr>
            </w:pPr>
            <w:r w:rsidRPr="00570B95">
              <w:rPr>
                <w:rFonts w:ascii="Times New Roman" w:hAnsi="Times New Roman"/>
                <w:b/>
                <w:bCs/>
              </w:rPr>
              <w:lastRenderedPageBreak/>
              <w:t xml:space="preserve">Zarzut nr 3.36. Brak transpozycji art. 24 ust. 2 lit. d)–e) dyrektywy 2010/75/UE </w:t>
            </w:r>
            <w:r w:rsidRPr="00570B95">
              <w:rPr>
                <w:rFonts w:ascii="Times New Roman" w:hAnsi="Times New Roman"/>
              </w:rPr>
              <w:t>- brak jest przepisu odnoszącego się wprost do zamieszczenia nazwy dokumentu referencyjnego BAT dla danej instalacji lub działalności, jednakże nie zdarzyło się, żeby organ właściwy takiej informacji nie zamieścił w uzasadnieniu decyzji przy wydawaniu decyzji mającej na celu uwzględnienie konkluzji BAT.</w:t>
            </w:r>
          </w:p>
          <w:p w14:paraId="050D53E3" w14:textId="3C709400" w:rsidR="00274FF9" w:rsidRPr="00570B95" w:rsidRDefault="00274FF9" w:rsidP="002B13D9">
            <w:pPr>
              <w:spacing w:after="120" w:line="240" w:lineRule="auto"/>
              <w:jc w:val="both"/>
              <w:rPr>
                <w:rFonts w:ascii="Times New Roman" w:hAnsi="Times New Roman"/>
                <w:b/>
                <w:bCs/>
              </w:rPr>
            </w:pPr>
            <w:r w:rsidRPr="00570B95">
              <w:rPr>
                <w:rFonts w:ascii="Times New Roman" w:hAnsi="Times New Roman"/>
                <w:b/>
                <w:bCs/>
              </w:rPr>
              <w:t xml:space="preserve">Zarzut nr 3.69. Brak transpozycji pkt 6.4 lit. b) akapit trzeci załącznika I do dyrektywy 2010/75/UE </w:t>
            </w:r>
            <w:r w:rsidRPr="00570B95">
              <w:rPr>
                <w:rFonts w:ascii="Times New Roman" w:hAnsi="Times New Roman"/>
              </w:rPr>
              <w:t xml:space="preserve">– </w:t>
            </w:r>
            <w:r w:rsidR="008172F3" w:rsidRPr="00570B95">
              <w:rPr>
                <w:rFonts w:ascii="Times New Roman" w:hAnsi="Times New Roman"/>
              </w:rPr>
              <w:t xml:space="preserve">konieczność dokonania </w:t>
            </w:r>
            <w:r w:rsidR="00227018" w:rsidRPr="00570B95">
              <w:rPr>
                <w:rFonts w:ascii="Times New Roman" w:hAnsi="Times New Roman"/>
              </w:rPr>
              <w:t xml:space="preserve">zmiany </w:t>
            </w:r>
            <w:r w:rsidR="008172F3" w:rsidRPr="00570B95">
              <w:rPr>
                <w:rFonts w:ascii="Times New Roman" w:hAnsi="Times New Roman"/>
              </w:rPr>
              <w:t>w</w:t>
            </w:r>
            <w:r w:rsidR="00227018" w:rsidRPr="00570B95">
              <w:rPr>
                <w:rFonts w:ascii="Times New Roman" w:hAnsi="Times New Roman"/>
              </w:rPr>
              <w:t xml:space="preserve"> rozporządzeni</w:t>
            </w:r>
            <w:r w:rsidR="008172F3" w:rsidRPr="00570B95">
              <w:rPr>
                <w:rFonts w:ascii="Times New Roman" w:hAnsi="Times New Roman"/>
              </w:rPr>
              <w:t>u</w:t>
            </w:r>
            <w:r w:rsidR="00227018" w:rsidRPr="00570B95">
              <w:rPr>
                <w:rFonts w:ascii="Times New Roman" w:hAnsi="Times New Roman"/>
              </w:rPr>
              <w:t xml:space="preserve"> Ministra Środowiska z dnia 27 sierpnia 2014 r., celem zapewnienia prawidłowej i pełnej transpozycji pkt 6.4 lit. b) akapit trzeci załącznika I do dyrektywy 2010/75/UE</w:t>
            </w:r>
            <w:r w:rsidR="008172F3" w:rsidRPr="00570B95">
              <w:rPr>
                <w:rFonts w:ascii="Times New Roman" w:hAnsi="Times New Roman"/>
              </w:rPr>
              <w:t>.</w:t>
            </w:r>
          </w:p>
          <w:p w14:paraId="56E88B43" w14:textId="19F65359" w:rsidR="00274FF9" w:rsidRPr="00570B95" w:rsidRDefault="00274FF9" w:rsidP="002B13D9">
            <w:pPr>
              <w:spacing w:after="120" w:line="240" w:lineRule="auto"/>
              <w:jc w:val="both"/>
              <w:rPr>
                <w:rFonts w:ascii="Times New Roman" w:hAnsi="Times New Roman"/>
                <w:b/>
                <w:bCs/>
              </w:rPr>
            </w:pPr>
            <w:r w:rsidRPr="00570B95">
              <w:rPr>
                <w:rFonts w:ascii="Times New Roman" w:hAnsi="Times New Roman"/>
                <w:b/>
                <w:bCs/>
              </w:rPr>
              <w:t>Zarzut nr 3.70. Nieprawidłowa transpozycja pkt 3 załącznika III do dyrektywy 2010/75/UE</w:t>
            </w:r>
            <w:r w:rsidRPr="00570B95">
              <w:rPr>
                <w:rFonts w:ascii="Times New Roman" w:hAnsi="Times New Roman"/>
              </w:rPr>
              <w:t xml:space="preserve"> –</w:t>
            </w:r>
            <w:r w:rsidRPr="00570B95">
              <w:rPr>
                <w:rFonts w:ascii="Times New Roman" w:hAnsi="Times New Roman"/>
                <w:b/>
                <w:bCs/>
              </w:rPr>
              <w:t xml:space="preserve"> </w:t>
            </w:r>
            <w:r w:rsidR="00227018" w:rsidRPr="00570B95">
              <w:rPr>
                <w:rFonts w:ascii="Times New Roman" w:hAnsi="Times New Roman"/>
              </w:rPr>
              <w:t xml:space="preserve">niniejszy przepis został transponowany do polskiego prawa w przepisie art. 143 ust. 4 pkt 4 </w:t>
            </w:r>
            <w:r w:rsidR="00401379" w:rsidRPr="00570B95">
              <w:rPr>
                <w:rFonts w:ascii="Times New Roman" w:hAnsi="Times New Roman"/>
              </w:rPr>
              <w:t>Poś</w:t>
            </w:r>
            <w:r w:rsidR="00227018" w:rsidRPr="00570B95">
              <w:rPr>
                <w:rFonts w:ascii="Times New Roman" w:hAnsi="Times New Roman"/>
              </w:rPr>
              <w:t>, zgodnie z którym technologia stosowana w nowo uruchamianych lub zmienianych w sposób istotny instalacjach i urządzeniach powinna spełniać wymagania, przy których określaniu uwzględnia się w szczególności stosowanie technologii bezodpadowych i małoodpadowych oraz możliwość odzysku powstających odpadów. W przepisie tym brakuje jednak odniesienia do sformułowania dotyczącego zwiększania odzysku i recyklingu „substancji wytwarzanych i wykorzystywanych w procesie”.</w:t>
            </w:r>
          </w:p>
          <w:p w14:paraId="53FB6CFA" w14:textId="38966877" w:rsidR="00274FF9" w:rsidRPr="00570B95" w:rsidRDefault="00274FF9" w:rsidP="002B13D9">
            <w:pPr>
              <w:spacing w:after="120" w:line="240" w:lineRule="auto"/>
              <w:jc w:val="both"/>
              <w:rPr>
                <w:rFonts w:ascii="Times New Roman" w:hAnsi="Times New Roman"/>
                <w:b/>
                <w:bCs/>
              </w:rPr>
            </w:pPr>
            <w:r w:rsidRPr="00570B95">
              <w:rPr>
                <w:rFonts w:ascii="Times New Roman" w:hAnsi="Times New Roman"/>
                <w:b/>
                <w:bCs/>
              </w:rPr>
              <w:t xml:space="preserve">Zarzut nr 3.71. Nieprawidłowa transpozycja pkt 4 załącznika III do dyrektywy 2010/75/UE </w:t>
            </w:r>
            <w:r w:rsidRPr="00570B95">
              <w:rPr>
                <w:rFonts w:ascii="Times New Roman" w:hAnsi="Times New Roman"/>
              </w:rPr>
              <w:t xml:space="preserve">– </w:t>
            </w:r>
            <w:r w:rsidR="00227018" w:rsidRPr="00570B95">
              <w:rPr>
                <w:rFonts w:ascii="Times New Roman" w:hAnsi="Times New Roman"/>
              </w:rPr>
              <w:t xml:space="preserve">przedmiotowy przepis został transponowany do polskiego prawa w art. 143 pkt 6 </w:t>
            </w:r>
            <w:r w:rsidR="00401379" w:rsidRPr="00570B95">
              <w:rPr>
                <w:rFonts w:ascii="Times New Roman" w:hAnsi="Times New Roman"/>
              </w:rPr>
              <w:t>Poś</w:t>
            </w:r>
            <w:r w:rsidR="00227018" w:rsidRPr="00570B95">
              <w:rPr>
                <w:rFonts w:ascii="Times New Roman" w:hAnsi="Times New Roman"/>
              </w:rPr>
              <w:t>, zgodnie z którym technologia stosowana w nowo uruchamianych lub zmienianych w sposób istotny instalacjach i urządzeniach powinna spełniać wymagania, przy których określaniu uwzględnia się w szczególności wykorzystywanie porównywalnych procesów i metod, które zostały skutecznie zastosowane w skali przemysłowej. W ww. przepisie brakuje odniesienia do sformułowania dotyczącego wykorzystania porównywalnych urządzeń jako jednego z wymogów ustalania technologii, która ma być stosowana</w:t>
            </w:r>
          </w:p>
          <w:p w14:paraId="29D77F95" w14:textId="1E97041A" w:rsidR="00274FF9" w:rsidRPr="00570B95" w:rsidRDefault="00274FF9" w:rsidP="002B13D9">
            <w:pPr>
              <w:spacing w:after="120" w:line="240" w:lineRule="auto"/>
              <w:jc w:val="both"/>
              <w:rPr>
                <w:rFonts w:ascii="Times New Roman" w:hAnsi="Times New Roman"/>
                <w:b/>
                <w:bCs/>
              </w:rPr>
            </w:pPr>
            <w:r w:rsidRPr="00570B95">
              <w:rPr>
                <w:rFonts w:ascii="Times New Roman" w:hAnsi="Times New Roman"/>
                <w:b/>
                <w:bCs/>
              </w:rPr>
              <w:t>Zarzut nr 3.72. Nieprawidłowa transpozycja pkt 9 załącznika III do dyrektywy 2010/75/UE</w:t>
            </w:r>
            <w:r w:rsidRPr="00570B95">
              <w:rPr>
                <w:rFonts w:ascii="Times New Roman" w:hAnsi="Times New Roman"/>
              </w:rPr>
              <w:t xml:space="preserve"> –</w:t>
            </w:r>
            <w:r w:rsidRPr="00570B95">
              <w:rPr>
                <w:rFonts w:ascii="Times New Roman" w:hAnsi="Times New Roman"/>
                <w:b/>
                <w:bCs/>
              </w:rPr>
              <w:t xml:space="preserve"> </w:t>
            </w:r>
            <w:r w:rsidR="00227018" w:rsidRPr="00570B95">
              <w:rPr>
                <w:rFonts w:ascii="Times New Roman" w:hAnsi="Times New Roman"/>
              </w:rPr>
              <w:t xml:space="preserve">przepis został transponowany do polskiego prawa w art. 143 ust. 2 i 3 </w:t>
            </w:r>
            <w:r w:rsidR="00401379" w:rsidRPr="00570B95">
              <w:rPr>
                <w:rFonts w:ascii="Times New Roman" w:hAnsi="Times New Roman"/>
              </w:rPr>
              <w:t>Poś</w:t>
            </w:r>
            <w:r w:rsidR="00227018" w:rsidRPr="00570B95">
              <w:rPr>
                <w:rFonts w:ascii="Times New Roman" w:hAnsi="Times New Roman"/>
              </w:rPr>
              <w:t>, zgodnie z którym technologia stosowana w nowo uruchamianych lub zmienianych w sposób istotny instalacjach i urządzeniach powinna spełniać wymagania, przy których określaniu uwzględnia się w szczególności efektywne wytwarzanie oraz wykorzystanie energii, a także zapewnienie racjonalnego zużycia wody i innych surowców oraz materiałów i paliw. W ww. przepisie brakuje odniesienia do sformułowania dotyczącego właściwości surowców.</w:t>
            </w:r>
          </w:p>
          <w:p w14:paraId="33283182" w14:textId="44E2EE23" w:rsidR="00274FF9" w:rsidRPr="00570B95" w:rsidRDefault="00274FF9" w:rsidP="002B13D9">
            <w:pPr>
              <w:spacing w:after="120" w:line="240" w:lineRule="auto"/>
              <w:jc w:val="both"/>
              <w:rPr>
                <w:rFonts w:ascii="Times New Roman" w:hAnsi="Times New Roman"/>
                <w:b/>
                <w:bCs/>
              </w:rPr>
            </w:pPr>
            <w:r w:rsidRPr="00570B95">
              <w:rPr>
                <w:rFonts w:ascii="Times New Roman" w:hAnsi="Times New Roman"/>
                <w:b/>
                <w:bCs/>
              </w:rPr>
              <w:t xml:space="preserve">Zarzut nr 3.73. Nieprawidłowa transpozycja pkt 5 załącznika IV do dyrektywy 2010/75/UE w związku z art. 6 ust. 3 konwencji z Aarhus </w:t>
            </w:r>
            <w:r w:rsidRPr="00570B95">
              <w:rPr>
                <w:rFonts w:ascii="Times New Roman" w:hAnsi="Times New Roman"/>
              </w:rPr>
              <w:t>–</w:t>
            </w:r>
            <w:r w:rsidR="00227018" w:rsidRPr="00570B95">
              <w:rPr>
                <w:rFonts w:ascii="Times New Roman" w:hAnsi="Times New Roman"/>
              </w:rPr>
              <w:t xml:space="preserve"> </w:t>
            </w:r>
            <w:r w:rsidR="008172F3" w:rsidRPr="00570B95">
              <w:rPr>
                <w:rFonts w:ascii="Times New Roman" w:hAnsi="Times New Roman"/>
              </w:rPr>
              <w:t xml:space="preserve">w przepisach krajowych </w:t>
            </w:r>
            <w:r w:rsidR="00227018" w:rsidRPr="00570B95">
              <w:rPr>
                <w:rFonts w:ascii="Times New Roman" w:hAnsi="Times New Roman"/>
              </w:rPr>
              <w:t>określon</w:t>
            </w:r>
            <w:r w:rsidR="008172F3" w:rsidRPr="00570B95">
              <w:rPr>
                <w:rFonts w:ascii="Times New Roman" w:hAnsi="Times New Roman"/>
              </w:rPr>
              <w:t xml:space="preserve">e są </w:t>
            </w:r>
            <w:r w:rsidR="00227018" w:rsidRPr="00570B95">
              <w:rPr>
                <w:rFonts w:ascii="Times New Roman" w:hAnsi="Times New Roman"/>
              </w:rPr>
              <w:t>rygorystyczn</w:t>
            </w:r>
            <w:r w:rsidR="008172F3" w:rsidRPr="00570B95">
              <w:rPr>
                <w:rFonts w:ascii="Times New Roman" w:hAnsi="Times New Roman"/>
              </w:rPr>
              <w:t>e</w:t>
            </w:r>
            <w:r w:rsidR="00227018" w:rsidRPr="00570B95">
              <w:rPr>
                <w:rFonts w:ascii="Times New Roman" w:hAnsi="Times New Roman"/>
              </w:rPr>
              <w:t xml:space="preserve"> ram</w:t>
            </w:r>
            <w:r w:rsidR="008172F3" w:rsidRPr="00570B95">
              <w:rPr>
                <w:rFonts w:ascii="Times New Roman" w:hAnsi="Times New Roman"/>
              </w:rPr>
              <w:t>y</w:t>
            </w:r>
            <w:r w:rsidR="00227018" w:rsidRPr="00570B95">
              <w:rPr>
                <w:rFonts w:ascii="Times New Roman" w:hAnsi="Times New Roman"/>
              </w:rPr>
              <w:t xml:space="preserve"> czasow</w:t>
            </w:r>
            <w:r w:rsidR="008172F3" w:rsidRPr="00570B95">
              <w:rPr>
                <w:rFonts w:ascii="Times New Roman" w:hAnsi="Times New Roman"/>
              </w:rPr>
              <w:t>e</w:t>
            </w:r>
            <w:r w:rsidR="00227018" w:rsidRPr="00570B95">
              <w:rPr>
                <w:rFonts w:ascii="Times New Roman" w:hAnsi="Times New Roman"/>
              </w:rPr>
              <w:t xml:space="preserve"> odnosząc</w:t>
            </w:r>
            <w:r w:rsidR="008172F3" w:rsidRPr="00570B95">
              <w:rPr>
                <w:rFonts w:ascii="Times New Roman" w:hAnsi="Times New Roman"/>
              </w:rPr>
              <w:t>e się do udziału społeczeństwa, czyli brak transpozycji przepisu dającego wystarczającą ilość czasu na poinformowanie społeczeństwa oraz członków zainteresowanej społeczności, aby przygotowali się i skutecznie uczestniczyli w podejmowaniu decyzji dotyczących środowiska</w:t>
            </w:r>
            <w:r w:rsidR="00227018" w:rsidRPr="00570B95">
              <w:rPr>
                <w:rFonts w:ascii="Times New Roman" w:hAnsi="Times New Roman"/>
              </w:rPr>
              <w:t>.</w:t>
            </w:r>
          </w:p>
        </w:tc>
      </w:tr>
      <w:tr w:rsidR="009F00FC" w:rsidRPr="009F00FC" w14:paraId="5428BD57" w14:textId="77777777" w:rsidTr="00515165">
        <w:trPr>
          <w:trHeight w:val="142"/>
        </w:trPr>
        <w:tc>
          <w:tcPr>
            <w:tcW w:w="10937" w:type="dxa"/>
            <w:gridSpan w:val="5"/>
            <w:shd w:val="clear" w:color="auto" w:fill="99CCFF"/>
            <w:vAlign w:val="center"/>
          </w:tcPr>
          <w:p w14:paraId="2616CFA5" w14:textId="77777777" w:rsidR="00A96B6E" w:rsidRPr="009F00FC" w:rsidRDefault="00A96B6E" w:rsidP="00851A61">
            <w:pPr>
              <w:numPr>
                <w:ilvl w:val="0"/>
                <w:numId w:val="1"/>
              </w:numPr>
              <w:spacing w:line="240" w:lineRule="auto"/>
              <w:ind w:left="318" w:hanging="284"/>
              <w:jc w:val="both"/>
              <w:rPr>
                <w:rFonts w:ascii="Times New Roman" w:hAnsi="Times New Roman"/>
                <w:b/>
              </w:rPr>
            </w:pPr>
            <w:r w:rsidRPr="009F00FC">
              <w:rPr>
                <w:rFonts w:ascii="Times New Roman" w:hAnsi="Times New Roman"/>
                <w:b/>
                <w:spacing w:val="-2"/>
              </w:rPr>
              <w:lastRenderedPageBreak/>
              <w:t>Rekomendowane rozwiązanie, w tym planowane narzędzia interwencji, i oczekiwany efekt</w:t>
            </w:r>
          </w:p>
        </w:tc>
      </w:tr>
      <w:tr w:rsidR="009F00FC" w:rsidRPr="009F00FC" w14:paraId="598B467C" w14:textId="77777777" w:rsidTr="00515165">
        <w:trPr>
          <w:trHeight w:val="142"/>
        </w:trPr>
        <w:tc>
          <w:tcPr>
            <w:tcW w:w="10937" w:type="dxa"/>
            <w:gridSpan w:val="5"/>
          </w:tcPr>
          <w:p w14:paraId="757F443D" w14:textId="59B9E261" w:rsidR="00323983" w:rsidRPr="00570B95" w:rsidRDefault="00B41F53" w:rsidP="00B41F53">
            <w:pPr>
              <w:spacing w:before="120" w:after="120" w:line="240" w:lineRule="auto"/>
              <w:jc w:val="both"/>
              <w:rPr>
                <w:rFonts w:ascii="Times New Roman" w:hAnsi="Times New Roman"/>
                <w:b/>
                <w:bCs/>
              </w:rPr>
            </w:pPr>
            <w:r w:rsidRPr="00570B95">
              <w:rPr>
                <w:rFonts w:ascii="Times New Roman" w:hAnsi="Times New Roman"/>
                <w:b/>
                <w:bCs/>
              </w:rPr>
              <w:t>I.</w:t>
            </w:r>
            <w:r w:rsidR="00F61F86" w:rsidRPr="00570B95">
              <w:rPr>
                <w:rFonts w:ascii="Times New Roman" w:hAnsi="Times New Roman"/>
                <w:b/>
                <w:bCs/>
              </w:rPr>
              <w:t xml:space="preserve"> </w:t>
            </w:r>
            <w:r w:rsidRPr="00570B95">
              <w:rPr>
                <w:rFonts w:ascii="Times New Roman" w:hAnsi="Times New Roman"/>
                <w:b/>
                <w:bCs/>
              </w:rPr>
              <w:t>Proponowane rozwiązania wdrażające przepisy unijne - dyrektywę 2024/1785, które będą uwzględnione w</w:t>
            </w:r>
            <w:r w:rsidR="00323983" w:rsidRPr="00570B95">
              <w:rPr>
                <w:rFonts w:ascii="Times New Roman" w:hAnsi="Times New Roman"/>
                <w:b/>
                <w:bCs/>
              </w:rPr>
              <w:t xml:space="preserve"> projekcie ustawy o zmianie ustawy – Prawo ochrony środowiska oraz niektórych innych ustaw:</w:t>
            </w:r>
          </w:p>
          <w:p w14:paraId="2E69CC60" w14:textId="22850F9F" w:rsidR="00323983" w:rsidRPr="009F00FC" w:rsidRDefault="00323983">
            <w:pPr>
              <w:pStyle w:val="Akapitzlist"/>
              <w:numPr>
                <w:ilvl w:val="0"/>
                <w:numId w:val="10"/>
              </w:numPr>
              <w:tabs>
                <w:tab w:val="left" w:pos="320"/>
              </w:tabs>
              <w:spacing w:line="240" w:lineRule="auto"/>
              <w:jc w:val="both"/>
              <w:rPr>
                <w:rFonts w:ascii="Times New Roman" w:hAnsi="Times New Roman"/>
                <w:b/>
                <w:bCs/>
                <w:u w:val="single"/>
              </w:rPr>
            </w:pPr>
            <w:r w:rsidRPr="009F00FC">
              <w:rPr>
                <w:rFonts w:ascii="Times New Roman" w:hAnsi="Times New Roman"/>
                <w:b/>
                <w:bCs/>
                <w:u w:val="single"/>
              </w:rPr>
              <w:t>Wprowadzenie obowiązku wykonania analizy w celu określenia najostrzejszych możliwych do osiągnięcia granicznych wielkości emisyjnych (BAT AEL</w:t>
            </w:r>
            <w:r w:rsidR="00401379" w:rsidRPr="009F00FC">
              <w:rPr>
                <w:rFonts w:ascii="Times New Roman" w:hAnsi="Times New Roman"/>
                <w:b/>
                <w:bCs/>
                <w:u w:val="single"/>
              </w:rPr>
              <w:t>s</w:t>
            </w:r>
            <w:r w:rsidRPr="009F00FC">
              <w:rPr>
                <w:rFonts w:ascii="Times New Roman" w:hAnsi="Times New Roman"/>
                <w:b/>
                <w:bCs/>
                <w:u w:val="single"/>
              </w:rPr>
              <w:t>)</w:t>
            </w:r>
          </w:p>
          <w:p w14:paraId="53341471" w14:textId="2FFA22EE" w:rsidR="00D632AD" w:rsidRPr="00014C83" w:rsidRDefault="00323983" w:rsidP="00014C83">
            <w:pPr>
              <w:spacing w:after="120" w:line="240" w:lineRule="auto"/>
              <w:ind w:left="346"/>
              <w:jc w:val="both"/>
              <w:rPr>
                <w:rFonts w:ascii="Times New Roman" w:hAnsi="Times New Roman"/>
              </w:rPr>
            </w:pPr>
            <w:r w:rsidRPr="00014C83">
              <w:rPr>
                <w:rFonts w:ascii="Times New Roman" w:hAnsi="Times New Roman"/>
              </w:rPr>
              <w:t>Przepisami ustawy zostanie wprowadzony obowiązek analizy, która wartość z przedziału wielkości emisji (BAT AELs) będzie w sposób najwłaściwszy odzwierciedlała możliwości danej instalacji w zakresie ograniczania emisji. Analiza ta będzie dokonywana przez prowadzącego instalację. Niezwykle istotne jest aby w ramach ustalanych w pozwoleniach wielkości emisji były one oparte na wzajemnych powiązaniach mi</w:t>
            </w:r>
            <w:r w:rsidR="00401379" w:rsidRPr="00014C83">
              <w:rPr>
                <w:rFonts w:ascii="Times New Roman" w:hAnsi="Times New Roman"/>
              </w:rPr>
              <w:t>ę</w:t>
            </w:r>
            <w:r w:rsidRPr="00014C83">
              <w:rPr>
                <w:rFonts w:ascii="Times New Roman" w:hAnsi="Times New Roman"/>
              </w:rPr>
              <w:t>dzy poszczególnymi komponentami środowiska. Organ właściwy do zmiany lub wydania pozwolenia zintegrowanego dokonuje oceny czy wskazane w ww. analizie przez prowadzącego instalację wielkości emisji przy technice stosowanej w danej instalacji uwzględniają potencjał danej instalacji do osiągnięcia jak najniższych możliwych do osiągnięcia wielkości emisji. W celu umożliwienia organowi właściwemu dokonanie ww. oceny konkluzje BAT powinny zawierać informacje na temat okoliczności umożliwiających osiągnięcie niższych emisji w zakresie BAT-AEL ustalonych dla kategorii instalacji o podobnych właściwościach.</w:t>
            </w:r>
            <w:r w:rsidR="002C4E7D" w:rsidRPr="00014C83">
              <w:rPr>
                <w:rFonts w:ascii="Times New Roman" w:hAnsi="Times New Roman"/>
              </w:rPr>
              <w:t xml:space="preserve"> Zmiana przepisów w zakresie usprawnienia obowiązujących procedur dotyczących pozwoleń zintegrowanych może być dokonana </w:t>
            </w:r>
            <w:r w:rsidR="00D632AD" w:rsidRPr="00014C83">
              <w:rPr>
                <w:rFonts w:ascii="Times New Roman" w:hAnsi="Times New Roman"/>
              </w:rPr>
              <w:t xml:space="preserve">  poprzez wprowadzenie fakultatywnego upoważnienia do wydawania rozporządzeń transponujących w całości lub części postanowienia konkluzji BAT. Oznaczałoby to możliwość wprowadzenia tzw. ogólnie wiążących zasad oraz przyspieszenie procesu wydawania pozwoleń zintegrowanych.</w:t>
            </w:r>
          </w:p>
          <w:p w14:paraId="3E0FC842" w14:textId="77777777" w:rsidR="00323983" w:rsidRPr="009F00FC" w:rsidRDefault="00323983">
            <w:pPr>
              <w:pStyle w:val="Akapitzlist"/>
              <w:numPr>
                <w:ilvl w:val="0"/>
                <w:numId w:val="10"/>
              </w:numPr>
              <w:tabs>
                <w:tab w:val="left" w:pos="320"/>
              </w:tabs>
              <w:spacing w:after="120" w:line="240" w:lineRule="auto"/>
              <w:jc w:val="both"/>
              <w:rPr>
                <w:rFonts w:ascii="Times New Roman" w:hAnsi="Times New Roman"/>
                <w:b/>
                <w:bCs/>
                <w:u w:val="single"/>
                <w:lang w:eastAsia="pl-PL"/>
              </w:rPr>
            </w:pPr>
            <w:r w:rsidRPr="009F00FC">
              <w:rPr>
                <w:rFonts w:ascii="Times New Roman" w:hAnsi="Times New Roman"/>
                <w:b/>
                <w:bCs/>
                <w:u w:val="single"/>
                <w:lang w:eastAsia="pl-PL"/>
              </w:rPr>
              <w:t xml:space="preserve">Doprecyzowanie w zakresie metodyki oceny zasadności udzielania odstępstw od BAT AELs </w:t>
            </w:r>
          </w:p>
          <w:p w14:paraId="7E8266DC" w14:textId="77777777" w:rsidR="00323983" w:rsidRPr="009F00FC" w:rsidRDefault="00323983" w:rsidP="00323983">
            <w:pPr>
              <w:pStyle w:val="Akapitzlist"/>
              <w:autoSpaceDE w:val="0"/>
              <w:autoSpaceDN w:val="0"/>
              <w:adjustRightInd w:val="0"/>
              <w:spacing w:after="120" w:line="240" w:lineRule="auto"/>
              <w:ind w:left="386"/>
              <w:contextualSpacing w:val="0"/>
              <w:jc w:val="both"/>
              <w:rPr>
                <w:rFonts w:ascii="Times New Roman" w:hAnsi="Times New Roman"/>
                <w:b/>
                <w:bCs/>
                <w:u w:val="single"/>
                <w:lang w:eastAsia="pl-PL"/>
              </w:rPr>
            </w:pPr>
            <w:r w:rsidRPr="009F00FC">
              <w:rPr>
                <w:rFonts w:ascii="Times New Roman" w:hAnsi="Times New Roman"/>
                <w:lang w:eastAsia="pl-PL"/>
              </w:rPr>
              <w:t xml:space="preserve">Odstępstwa powinny być udzielane zgodnie z zasadami odnoszącymi się do ogólnych kryteriów oceny zasadności udzielenia odstępstwa. Określone zostanie szczegółowo jakie elementy należy uwzględniać w zakresie kosztów i korzyści, a także ogólnych wskazówek w zakresie sposobu postępowania w przypadku nieproporcjonalności kosztów względem korzyści dla środowiska. Komisja opracuje i przyjmie akt implementacyjny zawierający metodykę oceny dysproporcjonalności kosztów w stosunku do korzyści środowiskowych. Szczegółowa metodyka w tym zakresie pozwoli na dokładniejsze określenie wzajemnych relacji pomiędzy kosztami a korzyściami. Organy właściwe do wydawania pozwoleń będą zobowiązane do ponownej oceny zasadności udzielonego odstępstwa co 4 lata lub podczas zmiany warunków pozwolenia wynikającej z przesłanek takich jak: powodowanie przez instalację zanieczyszczenia </w:t>
            </w:r>
            <w:r w:rsidRPr="009F00FC">
              <w:rPr>
                <w:rFonts w:ascii="Times New Roman" w:hAnsi="Times New Roman"/>
                <w:lang w:eastAsia="pl-PL"/>
              </w:rPr>
              <w:lastRenderedPageBreak/>
              <w:t>środowiska w znacznych rozmiarach, zastosowanie innych technik ze względu na zapewnienie bezpieczeństwa procesu, konieczność dotrzymania standardów jakości środowiska.</w:t>
            </w:r>
          </w:p>
          <w:p w14:paraId="6BB112C9" w14:textId="77777777" w:rsidR="00323983" w:rsidRPr="009F00FC" w:rsidRDefault="00323983">
            <w:pPr>
              <w:pStyle w:val="Akapitzlist"/>
              <w:numPr>
                <w:ilvl w:val="0"/>
                <w:numId w:val="10"/>
              </w:numPr>
              <w:autoSpaceDE w:val="0"/>
              <w:autoSpaceDN w:val="0"/>
              <w:adjustRightInd w:val="0"/>
              <w:spacing w:line="240" w:lineRule="auto"/>
              <w:jc w:val="both"/>
              <w:rPr>
                <w:rFonts w:ascii="Times New Roman" w:hAnsi="Times New Roman"/>
                <w:b/>
                <w:bCs/>
                <w:u w:val="single"/>
                <w:lang w:eastAsia="pl-PL"/>
              </w:rPr>
            </w:pPr>
            <w:r w:rsidRPr="009F00FC">
              <w:rPr>
                <w:rFonts w:ascii="Times New Roman" w:hAnsi="Times New Roman"/>
                <w:b/>
                <w:bCs/>
                <w:u w:val="single"/>
                <w:lang w:eastAsia="pl-PL"/>
              </w:rPr>
              <w:t>Ocena wpływu udzielonych odstępstw od BAT AELs na stan środowiska</w:t>
            </w:r>
          </w:p>
          <w:p w14:paraId="032A9572" w14:textId="1002FEB4" w:rsidR="00323983" w:rsidRPr="009F00FC" w:rsidRDefault="00323983" w:rsidP="00323983">
            <w:pPr>
              <w:pStyle w:val="Akapitzlist"/>
              <w:autoSpaceDE w:val="0"/>
              <w:autoSpaceDN w:val="0"/>
              <w:adjustRightInd w:val="0"/>
              <w:spacing w:after="120" w:line="240" w:lineRule="auto"/>
              <w:ind w:left="386"/>
              <w:contextualSpacing w:val="0"/>
              <w:jc w:val="both"/>
              <w:rPr>
                <w:rFonts w:ascii="Times New Roman" w:hAnsi="Times New Roman"/>
                <w:lang w:eastAsia="pl-PL"/>
              </w:rPr>
            </w:pPr>
            <w:r w:rsidRPr="009F00FC">
              <w:rPr>
                <w:rFonts w:ascii="Times New Roman" w:hAnsi="Times New Roman"/>
                <w:lang w:eastAsia="pl-PL"/>
              </w:rPr>
              <w:t>Wprowadzenie obowiązku monitor</w:t>
            </w:r>
            <w:r w:rsidR="00ED063A" w:rsidRPr="009F00FC">
              <w:rPr>
                <w:rFonts w:ascii="Times New Roman" w:hAnsi="Times New Roman"/>
                <w:lang w:eastAsia="pl-PL"/>
              </w:rPr>
              <w:t>owania</w:t>
            </w:r>
            <w:r w:rsidRPr="009F00FC">
              <w:rPr>
                <w:rFonts w:ascii="Times New Roman" w:hAnsi="Times New Roman"/>
                <w:lang w:eastAsia="pl-PL"/>
              </w:rPr>
              <w:t xml:space="preserve"> wpływ</w:t>
            </w:r>
            <w:r w:rsidR="00ED063A" w:rsidRPr="009F00FC">
              <w:rPr>
                <w:rFonts w:ascii="Times New Roman" w:hAnsi="Times New Roman"/>
                <w:lang w:eastAsia="pl-PL"/>
              </w:rPr>
              <w:t xml:space="preserve">u odstępstw na </w:t>
            </w:r>
            <w:r w:rsidRPr="009F00FC">
              <w:rPr>
                <w:rFonts w:ascii="Times New Roman" w:hAnsi="Times New Roman"/>
                <w:lang w:eastAsia="pl-PL"/>
              </w:rPr>
              <w:t>stan środowiska</w:t>
            </w:r>
            <w:r w:rsidR="00ED063A" w:rsidRPr="009F00FC">
              <w:rPr>
                <w:rFonts w:ascii="Times New Roman" w:hAnsi="Times New Roman"/>
                <w:lang w:eastAsia="pl-PL"/>
              </w:rPr>
              <w:t xml:space="preserve"> w przypadkach możliwości powiązania zwiększonej emisji danego zanieczyszczenia na jakość danego komponentu środowiska</w:t>
            </w:r>
            <w:r w:rsidRPr="009F00FC">
              <w:rPr>
                <w:rFonts w:ascii="Times New Roman" w:hAnsi="Times New Roman"/>
                <w:lang w:eastAsia="pl-PL"/>
              </w:rPr>
              <w:t xml:space="preserve">. </w:t>
            </w:r>
            <w:r w:rsidR="0076319E">
              <w:rPr>
                <w:rFonts w:ascii="Times New Roman" w:hAnsi="Times New Roman"/>
                <w:lang w:eastAsia="pl-PL"/>
              </w:rPr>
              <w:t>Obowiązek ten będzie, co do zasady, nakładany na prowadzących instalację, jednak w miejscach gdzie funkcjonują już stacje pomiarowe zasadne wydaje się wykorzystanie danych z tych istniejących urządzeń</w:t>
            </w:r>
            <w:r w:rsidR="00F815A2">
              <w:rPr>
                <w:rFonts w:ascii="Times New Roman" w:hAnsi="Times New Roman"/>
                <w:lang w:eastAsia="pl-PL"/>
              </w:rPr>
              <w:t xml:space="preserve"> – o ile ich lokalizacja będzie odpowiednia do oceny wpływu emisji z danego źródła na jakość powietrza</w:t>
            </w:r>
            <w:r w:rsidR="0076319E">
              <w:rPr>
                <w:rFonts w:ascii="Times New Roman" w:hAnsi="Times New Roman"/>
                <w:lang w:eastAsia="pl-PL"/>
              </w:rPr>
              <w:t>.</w:t>
            </w:r>
          </w:p>
          <w:p w14:paraId="13B3E399" w14:textId="77777777" w:rsidR="00323983" w:rsidRPr="009F00FC" w:rsidRDefault="00323983">
            <w:pPr>
              <w:pStyle w:val="Akapitzlist"/>
              <w:numPr>
                <w:ilvl w:val="0"/>
                <w:numId w:val="10"/>
              </w:numPr>
              <w:autoSpaceDE w:val="0"/>
              <w:autoSpaceDN w:val="0"/>
              <w:adjustRightInd w:val="0"/>
              <w:spacing w:line="240" w:lineRule="auto"/>
              <w:jc w:val="both"/>
              <w:rPr>
                <w:rFonts w:ascii="Times New Roman" w:hAnsi="Times New Roman"/>
                <w:b/>
                <w:bCs/>
                <w:u w:val="single"/>
                <w:lang w:eastAsia="pl-PL"/>
              </w:rPr>
            </w:pPr>
            <w:r w:rsidRPr="009F00FC">
              <w:rPr>
                <w:rFonts w:ascii="Times New Roman" w:hAnsi="Times New Roman"/>
                <w:b/>
                <w:bCs/>
                <w:u w:val="single"/>
                <w:lang w:eastAsia="pl-PL"/>
              </w:rPr>
              <w:t xml:space="preserve">Ujednolicenie zasad ustalania wielkości dopuszczalnej emisji </w:t>
            </w:r>
          </w:p>
          <w:p w14:paraId="772F2C5D" w14:textId="1F44BB0D" w:rsidR="00323983" w:rsidRPr="009F00FC" w:rsidRDefault="00323983" w:rsidP="00323983">
            <w:pPr>
              <w:pStyle w:val="Akapitzlist"/>
              <w:autoSpaceDE w:val="0"/>
              <w:autoSpaceDN w:val="0"/>
              <w:adjustRightInd w:val="0"/>
              <w:spacing w:after="120" w:line="240" w:lineRule="auto"/>
              <w:ind w:left="357"/>
              <w:contextualSpacing w:val="0"/>
              <w:jc w:val="both"/>
              <w:rPr>
                <w:rFonts w:ascii="Times New Roman" w:hAnsi="Times New Roman"/>
                <w:b/>
                <w:bCs/>
                <w:u w:val="single"/>
                <w:lang w:eastAsia="pl-PL"/>
              </w:rPr>
            </w:pPr>
            <w:r w:rsidRPr="009F00FC">
              <w:rPr>
                <w:rFonts w:ascii="Times New Roman" w:hAnsi="Times New Roman"/>
                <w:lang w:eastAsia="pl-PL"/>
              </w:rPr>
              <w:t>W przypadku pozytywnej oceny dotrzymywania BAT AELs będzie możliwe uznanie, że dotrzymane są także ELVs z Załącznika V i VI</w:t>
            </w:r>
            <w:r w:rsidR="004F1781" w:rsidRPr="009F00FC">
              <w:rPr>
                <w:rFonts w:ascii="Times New Roman" w:hAnsi="Times New Roman"/>
                <w:lang w:eastAsia="pl-PL"/>
              </w:rPr>
              <w:t>,</w:t>
            </w:r>
            <w:r w:rsidRPr="009F00FC">
              <w:rPr>
                <w:rFonts w:ascii="Times New Roman" w:hAnsi="Times New Roman"/>
                <w:lang w:eastAsia="pl-PL"/>
              </w:rPr>
              <w:t xml:space="preserve"> a więc standardy emisyjne dla </w:t>
            </w:r>
            <w:r w:rsidR="004F1781" w:rsidRPr="009F00FC">
              <w:rPr>
                <w:rFonts w:ascii="Times New Roman" w:hAnsi="Times New Roman"/>
                <w:lang w:eastAsia="pl-PL"/>
              </w:rPr>
              <w:t>dużych obiektów spalania (</w:t>
            </w:r>
            <w:r w:rsidRPr="009F00FC">
              <w:rPr>
                <w:rFonts w:ascii="Times New Roman" w:hAnsi="Times New Roman"/>
                <w:lang w:eastAsia="pl-PL"/>
              </w:rPr>
              <w:t>LCP</w:t>
            </w:r>
            <w:r w:rsidR="004F1781" w:rsidRPr="009F00FC">
              <w:rPr>
                <w:rFonts w:ascii="Times New Roman" w:hAnsi="Times New Roman"/>
                <w:lang w:eastAsia="pl-PL"/>
              </w:rPr>
              <w:t>)</w:t>
            </w:r>
            <w:r w:rsidRPr="009F00FC">
              <w:rPr>
                <w:rFonts w:ascii="Times New Roman" w:hAnsi="Times New Roman"/>
                <w:lang w:eastAsia="pl-PL"/>
              </w:rPr>
              <w:t xml:space="preserve"> i </w:t>
            </w:r>
            <w:r w:rsidR="004F1781" w:rsidRPr="009F00FC">
              <w:rPr>
                <w:rFonts w:ascii="Times New Roman" w:hAnsi="Times New Roman"/>
                <w:lang w:eastAsia="pl-PL"/>
              </w:rPr>
              <w:t>instalacji do termicznego przekształcania odpadów (</w:t>
            </w:r>
            <w:r w:rsidRPr="009F00FC">
              <w:rPr>
                <w:rFonts w:ascii="Times New Roman" w:hAnsi="Times New Roman"/>
                <w:lang w:eastAsia="pl-PL"/>
              </w:rPr>
              <w:t>WI</w:t>
            </w:r>
            <w:r w:rsidR="004F1781" w:rsidRPr="009F00FC">
              <w:rPr>
                <w:rFonts w:ascii="Times New Roman" w:hAnsi="Times New Roman"/>
                <w:lang w:eastAsia="pl-PL"/>
              </w:rPr>
              <w:t>)</w:t>
            </w:r>
            <w:r w:rsidRPr="009F00FC">
              <w:rPr>
                <w:rFonts w:ascii="Times New Roman" w:hAnsi="Times New Roman"/>
                <w:lang w:eastAsia="pl-PL"/>
              </w:rPr>
              <w:t>.</w:t>
            </w:r>
          </w:p>
          <w:p w14:paraId="397B4F47" w14:textId="77777777" w:rsidR="00323983" w:rsidRPr="009F00FC" w:rsidRDefault="00323983">
            <w:pPr>
              <w:pStyle w:val="Akapitzlist"/>
              <w:numPr>
                <w:ilvl w:val="0"/>
                <w:numId w:val="10"/>
              </w:numPr>
              <w:autoSpaceDE w:val="0"/>
              <w:autoSpaceDN w:val="0"/>
              <w:adjustRightInd w:val="0"/>
              <w:spacing w:line="240" w:lineRule="auto"/>
              <w:jc w:val="both"/>
              <w:rPr>
                <w:rFonts w:ascii="Times New Roman" w:hAnsi="Times New Roman"/>
                <w:b/>
                <w:bCs/>
                <w:u w:val="single"/>
                <w:lang w:eastAsia="pl-PL"/>
              </w:rPr>
            </w:pPr>
            <w:r w:rsidRPr="009F00FC">
              <w:rPr>
                <w:rFonts w:ascii="Times New Roman" w:hAnsi="Times New Roman"/>
                <w:b/>
                <w:bCs/>
                <w:u w:val="single"/>
                <w:lang w:eastAsia="pl-PL"/>
              </w:rPr>
              <w:t xml:space="preserve">Wsparcie dla innowacji </w:t>
            </w:r>
          </w:p>
          <w:p w14:paraId="4A9D2731" w14:textId="5CE8B021" w:rsidR="00323983" w:rsidRPr="009F00FC" w:rsidRDefault="00323983" w:rsidP="00323983">
            <w:pPr>
              <w:pStyle w:val="Akapitzlist"/>
              <w:autoSpaceDE w:val="0"/>
              <w:autoSpaceDN w:val="0"/>
              <w:adjustRightInd w:val="0"/>
              <w:spacing w:after="120" w:line="240" w:lineRule="auto"/>
              <w:ind w:left="386"/>
              <w:contextualSpacing w:val="0"/>
              <w:jc w:val="both"/>
              <w:rPr>
                <w:rFonts w:ascii="Times New Roman" w:hAnsi="Times New Roman"/>
                <w:lang w:eastAsia="pl-PL"/>
              </w:rPr>
            </w:pPr>
            <w:r w:rsidRPr="009F00FC">
              <w:rPr>
                <w:rFonts w:ascii="Times New Roman" w:hAnsi="Times New Roman"/>
                <w:lang w:eastAsia="pl-PL"/>
              </w:rPr>
              <w:t>Projektowane przepisy dostarczą zachęt dla przedsiębiorców</w:t>
            </w:r>
            <w:r w:rsidR="004F1781" w:rsidRPr="009F00FC">
              <w:rPr>
                <w:rFonts w:ascii="Times New Roman" w:hAnsi="Times New Roman"/>
                <w:lang w:eastAsia="pl-PL"/>
              </w:rPr>
              <w:t>,</w:t>
            </w:r>
            <w:r w:rsidRPr="009F00FC">
              <w:rPr>
                <w:rFonts w:ascii="Times New Roman" w:hAnsi="Times New Roman"/>
                <w:lang w:eastAsia="pl-PL"/>
              </w:rPr>
              <w:t xml:space="preserve"> którzy zdecydują się na wdrożenie rozwiązań innowacyjnych lub głęboką transformację swojej działalności pozwalającą na drastyczną redukcję emisji gazów cieplarnianych. Dodatkowo nowo przyjmowane decyzje wykonawcze Komisji ustanawiające </w:t>
            </w:r>
            <w:r w:rsidR="004F1781" w:rsidRPr="009F00FC">
              <w:rPr>
                <w:rFonts w:ascii="Times New Roman" w:hAnsi="Times New Roman"/>
                <w:lang w:eastAsia="pl-PL"/>
              </w:rPr>
              <w:t>k</w:t>
            </w:r>
            <w:r w:rsidRPr="009F00FC">
              <w:rPr>
                <w:rFonts w:ascii="Times New Roman" w:hAnsi="Times New Roman"/>
                <w:lang w:eastAsia="pl-PL"/>
              </w:rPr>
              <w:t>onkluzje BAT dla poszczególnych branż przemysłowych powinny wskazywać rodzaje innowacyjnych technik oraz kierunki transformacji przemysłowej.</w:t>
            </w:r>
          </w:p>
          <w:p w14:paraId="09F558D2" w14:textId="77777777" w:rsidR="00323983" w:rsidRPr="009F00FC" w:rsidRDefault="00323983">
            <w:pPr>
              <w:pStyle w:val="Akapitzlist"/>
              <w:numPr>
                <w:ilvl w:val="0"/>
                <w:numId w:val="10"/>
              </w:numPr>
              <w:autoSpaceDE w:val="0"/>
              <w:autoSpaceDN w:val="0"/>
              <w:adjustRightInd w:val="0"/>
              <w:spacing w:line="240" w:lineRule="auto"/>
              <w:jc w:val="both"/>
              <w:rPr>
                <w:rFonts w:ascii="Times New Roman" w:hAnsi="Times New Roman"/>
                <w:b/>
                <w:bCs/>
                <w:u w:val="single"/>
                <w:lang w:eastAsia="pl-PL"/>
              </w:rPr>
            </w:pPr>
            <w:r w:rsidRPr="009F00FC">
              <w:rPr>
                <w:rFonts w:ascii="Times New Roman" w:hAnsi="Times New Roman"/>
                <w:b/>
                <w:bCs/>
                <w:u w:val="single"/>
                <w:lang w:eastAsia="pl-PL"/>
              </w:rPr>
              <w:t>Wprowadzenie wiążących poziomów efektywności środowiskowej (BAT AEPL)</w:t>
            </w:r>
          </w:p>
          <w:p w14:paraId="245D37D9" w14:textId="6D2B8FEF" w:rsidR="00323983" w:rsidRPr="009F00FC" w:rsidRDefault="00323983" w:rsidP="00323983">
            <w:pPr>
              <w:pStyle w:val="Akapitzlist"/>
              <w:autoSpaceDE w:val="0"/>
              <w:autoSpaceDN w:val="0"/>
              <w:adjustRightInd w:val="0"/>
              <w:spacing w:after="120" w:line="240" w:lineRule="auto"/>
              <w:ind w:left="386"/>
              <w:contextualSpacing w:val="0"/>
              <w:jc w:val="both"/>
              <w:rPr>
                <w:rFonts w:ascii="Times New Roman" w:hAnsi="Times New Roman"/>
                <w:lang w:eastAsia="pl-PL"/>
              </w:rPr>
            </w:pPr>
            <w:r w:rsidRPr="009F00FC">
              <w:rPr>
                <w:rFonts w:ascii="Times New Roman" w:hAnsi="Times New Roman"/>
                <w:lang w:eastAsia="pl-PL"/>
              </w:rPr>
              <w:t>W celu wzmocnienia roli warunków pozwoleń</w:t>
            </w:r>
            <w:r w:rsidRPr="009F00FC">
              <w:rPr>
                <w:rFonts w:ascii="Times New Roman" w:hAnsi="Times New Roman"/>
              </w:rPr>
              <w:t xml:space="preserve"> takich jak </w:t>
            </w:r>
            <w:r w:rsidRPr="009F00FC">
              <w:rPr>
                <w:rFonts w:ascii="Times New Roman" w:hAnsi="Times New Roman"/>
                <w:lang w:eastAsia="pl-PL"/>
              </w:rPr>
              <w:t xml:space="preserve">poziomy efektywności środowiskowej zasadne jest nadanie im, w uzasadnionych przypadkach, charakteru wiążącego prawnie, a tam gdzie okaże się to niemożliwe pozostanie przy wartościach wskaźnikowych określanych w systemie zarządzania środowiskowego instalacji. Ocena tego czy dla danego kryterium zasobooszczędności ustalone zostaną wiążące poziomy będzie każdorazowo dokonywana </w:t>
            </w:r>
            <w:r w:rsidR="00ED063A" w:rsidRPr="009F00FC">
              <w:rPr>
                <w:rFonts w:ascii="Times New Roman" w:hAnsi="Times New Roman"/>
                <w:lang w:eastAsia="pl-PL"/>
              </w:rPr>
              <w:t>na etapie tworzenia konkluzji BAT</w:t>
            </w:r>
            <w:r w:rsidRPr="009F00FC">
              <w:rPr>
                <w:rFonts w:ascii="Times New Roman" w:hAnsi="Times New Roman"/>
                <w:lang w:eastAsia="pl-PL"/>
              </w:rPr>
              <w:t>.</w:t>
            </w:r>
          </w:p>
          <w:p w14:paraId="27344538" w14:textId="77777777" w:rsidR="00323983" w:rsidRPr="009F00FC" w:rsidRDefault="00323983">
            <w:pPr>
              <w:pStyle w:val="Akapitzlist"/>
              <w:numPr>
                <w:ilvl w:val="0"/>
                <w:numId w:val="10"/>
              </w:numPr>
              <w:autoSpaceDE w:val="0"/>
              <w:autoSpaceDN w:val="0"/>
              <w:adjustRightInd w:val="0"/>
              <w:spacing w:line="240" w:lineRule="auto"/>
              <w:contextualSpacing w:val="0"/>
              <w:jc w:val="both"/>
              <w:rPr>
                <w:rFonts w:ascii="Times New Roman" w:hAnsi="Times New Roman"/>
                <w:lang w:eastAsia="pl-PL"/>
              </w:rPr>
            </w:pPr>
            <w:r w:rsidRPr="009F00FC">
              <w:rPr>
                <w:rFonts w:ascii="Times New Roman" w:hAnsi="Times New Roman"/>
                <w:b/>
                <w:bCs/>
                <w:u w:val="single"/>
              </w:rPr>
              <w:t>System zarządzania środowiskowego (EMS)</w:t>
            </w:r>
          </w:p>
          <w:p w14:paraId="6E6004C4" w14:textId="19E69F65" w:rsidR="00323983" w:rsidRPr="009F00FC" w:rsidRDefault="00323983" w:rsidP="00323983">
            <w:pPr>
              <w:tabs>
                <w:tab w:val="left" w:pos="320"/>
              </w:tabs>
              <w:spacing w:after="120" w:line="240" w:lineRule="auto"/>
              <w:ind w:left="386"/>
              <w:jc w:val="both"/>
              <w:rPr>
                <w:rFonts w:ascii="Times New Roman" w:hAnsi="Times New Roman"/>
              </w:rPr>
            </w:pPr>
            <w:r w:rsidRPr="009F00FC">
              <w:rPr>
                <w:rFonts w:ascii="Times New Roman" w:hAnsi="Times New Roman"/>
              </w:rPr>
              <w:t xml:space="preserve">W celu zapewnienia, że każdy EMS będzie obejmował elementy istotne z punktu widzenia skutecznego przeciwdziałania zanieczyszczeniom powodowanym przez instalacje przemysłowe, zasadne jest wskazanie ich bezpośrednio w przepisach ustawowych. Obejmowałoby to także obowiązek okresowej oceny zgodności EMS przez akredytowanych weryfikatorów. Jednym z istotnych elementów wymaganych w ramach EMS byłaby inwentaryzacja niebezpiecznych substancji chemicznych wykorzystywanych lub emitowanych przez instalację, ocena ich wpływu na zdrowie ludzkie i środowisko oraz ocena możliwości zastąpienia ich bezpieczniejszymi odpowiednikami. Ponadto wprowadzenie EMS jako dokumentu towarzyszącego w stosunku do pozwolenia zintegrowanego pozwoli na określanie w nim wymagań o charakterze wskaźnikowym (niewiążącym) niedotrzymanie których, co do zasady, nie powoduje stosowania sankcji np. w postaci administracyjnych kar pieniężnych. </w:t>
            </w:r>
          </w:p>
          <w:p w14:paraId="74A3D49A" w14:textId="77777777" w:rsidR="00323983" w:rsidRPr="009F00FC" w:rsidRDefault="00323983">
            <w:pPr>
              <w:numPr>
                <w:ilvl w:val="0"/>
                <w:numId w:val="10"/>
              </w:numPr>
              <w:tabs>
                <w:tab w:val="left" w:pos="320"/>
              </w:tabs>
              <w:spacing w:line="240" w:lineRule="auto"/>
              <w:jc w:val="both"/>
              <w:rPr>
                <w:rFonts w:ascii="Times New Roman" w:hAnsi="Times New Roman"/>
                <w:b/>
                <w:bCs/>
                <w:u w:val="single"/>
              </w:rPr>
            </w:pPr>
            <w:r w:rsidRPr="009F00FC">
              <w:rPr>
                <w:rFonts w:ascii="Times New Roman" w:hAnsi="Times New Roman"/>
                <w:b/>
                <w:bCs/>
                <w:u w:val="single"/>
              </w:rPr>
              <w:t>Udział społeczeństwa w procesie podejmowania decyzji</w:t>
            </w:r>
          </w:p>
          <w:p w14:paraId="7595C60F" w14:textId="21F17F7B" w:rsidR="007E641E" w:rsidRPr="009F00FC" w:rsidRDefault="00323983" w:rsidP="00323983">
            <w:pPr>
              <w:tabs>
                <w:tab w:val="left" w:pos="320"/>
              </w:tabs>
              <w:spacing w:after="120" w:line="240" w:lineRule="auto"/>
              <w:ind w:left="386"/>
              <w:jc w:val="both"/>
              <w:rPr>
                <w:rFonts w:ascii="Times New Roman" w:hAnsi="Times New Roman"/>
              </w:rPr>
            </w:pPr>
            <w:r w:rsidRPr="009F00FC">
              <w:rPr>
                <w:rFonts w:ascii="Times New Roman" w:hAnsi="Times New Roman"/>
              </w:rPr>
              <w:t xml:space="preserve">Zasadne jest rozszerzenie katalogu określającego udział społeczeństwa w postępowaniach dotyczących pozwoleń zintegrowanych o przypadki dostosowania pozwoleń zintegrowanych do </w:t>
            </w:r>
            <w:r w:rsidR="004F1781" w:rsidRPr="009F00FC">
              <w:rPr>
                <w:rFonts w:ascii="Times New Roman" w:hAnsi="Times New Roman"/>
              </w:rPr>
              <w:t>k</w:t>
            </w:r>
            <w:r w:rsidRPr="009F00FC">
              <w:rPr>
                <w:rFonts w:ascii="Times New Roman" w:hAnsi="Times New Roman"/>
              </w:rPr>
              <w:t xml:space="preserve">onkluzji BAT, niezależnie od tego czy prowadzący instalację wnioskuje o odstępstwo, zgodnie z art. 204 ust. 2 Poś. </w:t>
            </w:r>
          </w:p>
          <w:p w14:paraId="0DDC2530" w14:textId="77777777" w:rsidR="007E641E" w:rsidRPr="009F00FC" w:rsidRDefault="007E641E">
            <w:pPr>
              <w:numPr>
                <w:ilvl w:val="0"/>
                <w:numId w:val="10"/>
              </w:numPr>
              <w:tabs>
                <w:tab w:val="left" w:pos="320"/>
              </w:tabs>
              <w:spacing w:line="240" w:lineRule="auto"/>
              <w:jc w:val="both"/>
              <w:rPr>
                <w:rFonts w:ascii="Times New Roman" w:hAnsi="Times New Roman"/>
                <w:b/>
                <w:bCs/>
                <w:u w:val="single"/>
              </w:rPr>
            </w:pPr>
            <w:r w:rsidRPr="009F00FC">
              <w:rPr>
                <w:rFonts w:ascii="Times New Roman" w:hAnsi="Times New Roman"/>
                <w:b/>
                <w:bCs/>
                <w:u w:val="single"/>
              </w:rPr>
              <w:t>Możliwość wnioskowania o odszkodowania</w:t>
            </w:r>
          </w:p>
          <w:p w14:paraId="7240CE9D" w14:textId="33B872FB" w:rsidR="00F72672" w:rsidRPr="009F00FC" w:rsidRDefault="00F72672" w:rsidP="00F72672">
            <w:pPr>
              <w:pStyle w:val="Tekstpodstawowy"/>
              <w:spacing w:line="240" w:lineRule="auto"/>
              <w:ind w:left="357"/>
              <w:jc w:val="both"/>
              <w:rPr>
                <w:rFonts w:ascii="Times New Roman" w:hAnsi="Times New Roman"/>
                <w:iCs/>
              </w:rPr>
            </w:pPr>
            <w:r w:rsidRPr="009F00FC">
              <w:rPr>
                <w:rFonts w:ascii="Times New Roman" w:hAnsi="Times New Roman"/>
                <w:iCs/>
              </w:rPr>
              <w:t xml:space="preserve">Zmiany przepisów powinny zapewnić, </w:t>
            </w:r>
            <w:r w:rsidR="00195EA6">
              <w:rPr>
                <w:rFonts w:ascii="Times New Roman" w:hAnsi="Times New Roman"/>
                <w:iCs/>
              </w:rPr>
              <w:t>że</w:t>
            </w:r>
            <w:r w:rsidRPr="009F00FC">
              <w:rPr>
                <w:rFonts w:ascii="Times New Roman" w:hAnsi="Times New Roman"/>
                <w:iCs/>
              </w:rPr>
              <w:t xml:space="preserve"> w przypadku wystąpienia uszczerbku na zdrowiu wynikającego z naruszania zasad określonych w dyrektywie 2024/1785, osoby dotknięte tą szkodą miały prawo do wystąpienia o odszkodowanie od prowadzącego instalację. Powinno zostać zapewnione, aby przepisy i procedury krajowe dotyczące roszczeń odszkodowawczych były opracowywane i stosowane w taki sposób, aby nie uniemożliwiały ani nadmiernie nie utrudniały wykonywania prawa do odszkodowania.</w:t>
            </w:r>
            <w:r w:rsidR="003F2AFC">
              <w:rPr>
                <w:rFonts w:ascii="Times New Roman" w:hAnsi="Times New Roman"/>
                <w:iCs/>
              </w:rPr>
              <w:t xml:space="preserve"> Aktualnie przepisy obowiązujące w tym zakresie to art. 435, 444 i 445 ustawy z dnia 23 kwietnia 1964 r. - </w:t>
            </w:r>
            <w:r w:rsidR="003F2AFC" w:rsidRPr="003F2AFC">
              <w:rPr>
                <w:rFonts w:ascii="Times New Roman" w:hAnsi="Times New Roman"/>
                <w:iCs/>
              </w:rPr>
              <w:t xml:space="preserve">Kodeks cywilny i tytuł VI dział I </w:t>
            </w:r>
            <w:r w:rsidR="003F2AFC">
              <w:rPr>
                <w:rFonts w:ascii="Times New Roman" w:hAnsi="Times New Roman"/>
                <w:iCs/>
              </w:rPr>
              <w:t xml:space="preserve">ustawy z dnia 27 kwietnia 2001 r. – </w:t>
            </w:r>
            <w:r w:rsidR="003F2AFC" w:rsidRPr="003F2AFC">
              <w:rPr>
                <w:rFonts w:ascii="Times New Roman" w:hAnsi="Times New Roman"/>
                <w:iCs/>
              </w:rPr>
              <w:t>P</w:t>
            </w:r>
            <w:r w:rsidR="003F2AFC">
              <w:rPr>
                <w:rFonts w:ascii="Times New Roman" w:hAnsi="Times New Roman"/>
                <w:iCs/>
              </w:rPr>
              <w:t xml:space="preserve">rawo </w:t>
            </w:r>
            <w:r w:rsidR="003F2AFC" w:rsidRPr="003F2AFC">
              <w:rPr>
                <w:rFonts w:ascii="Times New Roman" w:hAnsi="Times New Roman"/>
                <w:iCs/>
              </w:rPr>
              <w:t>o</w:t>
            </w:r>
            <w:r w:rsidR="003F2AFC">
              <w:rPr>
                <w:rFonts w:ascii="Times New Roman" w:hAnsi="Times New Roman"/>
                <w:iCs/>
              </w:rPr>
              <w:t xml:space="preserve">chrony </w:t>
            </w:r>
            <w:r w:rsidR="003F2AFC" w:rsidRPr="003F2AFC">
              <w:rPr>
                <w:rFonts w:ascii="Times New Roman" w:hAnsi="Times New Roman"/>
                <w:iCs/>
              </w:rPr>
              <w:t>ś</w:t>
            </w:r>
            <w:r w:rsidR="003F2AFC">
              <w:rPr>
                <w:rFonts w:ascii="Times New Roman" w:hAnsi="Times New Roman"/>
                <w:iCs/>
              </w:rPr>
              <w:t>rodowiska.</w:t>
            </w:r>
          </w:p>
          <w:p w14:paraId="6AF2B217" w14:textId="7535B245" w:rsidR="007E641E" w:rsidRPr="009F00FC" w:rsidRDefault="007E641E">
            <w:pPr>
              <w:numPr>
                <w:ilvl w:val="0"/>
                <w:numId w:val="10"/>
              </w:numPr>
              <w:tabs>
                <w:tab w:val="left" w:pos="320"/>
              </w:tabs>
              <w:spacing w:line="240" w:lineRule="auto"/>
              <w:jc w:val="both"/>
              <w:rPr>
                <w:rFonts w:ascii="Times New Roman" w:hAnsi="Times New Roman"/>
                <w:b/>
                <w:bCs/>
                <w:u w:val="single"/>
              </w:rPr>
            </w:pPr>
            <w:r w:rsidRPr="009F00FC">
              <w:rPr>
                <w:rFonts w:ascii="Times New Roman" w:hAnsi="Times New Roman"/>
                <w:b/>
                <w:bCs/>
                <w:u w:val="single"/>
              </w:rPr>
              <w:t xml:space="preserve">Sankcje i </w:t>
            </w:r>
            <w:r w:rsidR="00195EA6">
              <w:rPr>
                <w:rFonts w:ascii="Times New Roman" w:hAnsi="Times New Roman"/>
                <w:b/>
                <w:bCs/>
                <w:u w:val="single"/>
              </w:rPr>
              <w:t>k</w:t>
            </w:r>
            <w:r w:rsidRPr="009F00FC">
              <w:rPr>
                <w:rFonts w:ascii="Times New Roman" w:hAnsi="Times New Roman"/>
                <w:b/>
                <w:bCs/>
                <w:u w:val="single"/>
              </w:rPr>
              <w:t xml:space="preserve">ary </w:t>
            </w:r>
          </w:p>
          <w:p w14:paraId="7BA704BA" w14:textId="2804E89E" w:rsidR="007E641E" w:rsidRPr="009F00FC" w:rsidRDefault="00F72672" w:rsidP="007E641E">
            <w:pPr>
              <w:tabs>
                <w:tab w:val="left" w:pos="320"/>
              </w:tabs>
              <w:spacing w:after="120" w:line="240" w:lineRule="auto"/>
              <w:ind w:left="386"/>
              <w:jc w:val="both"/>
              <w:rPr>
                <w:rFonts w:ascii="Times New Roman" w:hAnsi="Times New Roman"/>
                <w:b/>
                <w:bCs/>
                <w:u w:val="single"/>
              </w:rPr>
            </w:pPr>
            <w:r w:rsidRPr="009F00FC">
              <w:rPr>
                <w:rFonts w:ascii="Times New Roman" w:hAnsi="Times New Roman"/>
              </w:rPr>
              <w:t>U</w:t>
            </w:r>
            <w:r w:rsidR="007E641E" w:rsidRPr="009F00FC">
              <w:rPr>
                <w:rFonts w:ascii="Times New Roman" w:hAnsi="Times New Roman"/>
              </w:rPr>
              <w:t>zasadniony wydaje się przegląd obowiązujących regulacji dotyczących szeroko rozumianych sankcji za nieprzestrzeganie wymagań prawnych z zakresu ochrony środowiska aby zapewnić, że są one skuteczne, proporcjonalne oraz pełnią rolę odstraszającą. Dotyczy to chociażby przypadków kar za najpoważniejsze i powtarzające się wykroczenia/nieprawidłowości</w:t>
            </w:r>
            <w:r w:rsidRPr="009F00FC">
              <w:rPr>
                <w:rFonts w:ascii="Times New Roman" w:hAnsi="Times New Roman"/>
              </w:rPr>
              <w:t>,</w:t>
            </w:r>
            <w:r w:rsidR="007E641E" w:rsidRPr="009F00FC">
              <w:rPr>
                <w:rFonts w:ascii="Times New Roman" w:hAnsi="Times New Roman"/>
              </w:rPr>
              <w:t xml:space="preserve"> gdzie wysokość kary powinna być uzależniona m.in. od przychodów podmiotu, który takiego wykroczenia się dopuścił. Ponadto należy zapewnić spójność pomiędzy sankcjami wynikającymi z ustawy Poś</w:t>
            </w:r>
            <w:r w:rsidRPr="009F00FC">
              <w:rPr>
                <w:rFonts w:ascii="Times New Roman" w:hAnsi="Times New Roman"/>
              </w:rPr>
              <w:t>,</w:t>
            </w:r>
            <w:r w:rsidR="007E641E" w:rsidRPr="009F00FC">
              <w:rPr>
                <w:rFonts w:ascii="Times New Roman" w:hAnsi="Times New Roman"/>
              </w:rPr>
              <w:t xml:space="preserve"> a tymi wynikającymi z przepisów odrębnych obejmujących przestępstwa przeciwko środowisku.</w:t>
            </w:r>
          </w:p>
          <w:p w14:paraId="516D54D2" w14:textId="77777777" w:rsidR="007E641E" w:rsidRPr="009F00FC" w:rsidRDefault="007E641E">
            <w:pPr>
              <w:numPr>
                <w:ilvl w:val="0"/>
                <w:numId w:val="10"/>
              </w:numPr>
              <w:tabs>
                <w:tab w:val="left" w:pos="320"/>
              </w:tabs>
              <w:spacing w:line="240" w:lineRule="auto"/>
              <w:jc w:val="both"/>
              <w:rPr>
                <w:rFonts w:ascii="Times New Roman" w:hAnsi="Times New Roman"/>
                <w:b/>
                <w:bCs/>
                <w:u w:val="single"/>
              </w:rPr>
            </w:pPr>
            <w:r w:rsidRPr="009F00FC">
              <w:rPr>
                <w:rFonts w:ascii="Times New Roman" w:hAnsi="Times New Roman"/>
                <w:b/>
                <w:bCs/>
                <w:u w:val="single"/>
              </w:rPr>
              <w:t>Objęcie obowiązkiem uzyskania pozwolenia zintegrowanego nowych rodzajów instalacji. Rodzaje instalacji objęte obowiązkiem uzyskania pozwolenia zintegrowanego wymienione w załączniku I do dyrektywy 2024/1785</w:t>
            </w:r>
          </w:p>
          <w:p w14:paraId="58F95EFA" w14:textId="77777777" w:rsidR="002814EA" w:rsidRDefault="0027592C" w:rsidP="00125BAD">
            <w:pPr>
              <w:spacing w:after="120" w:line="240" w:lineRule="auto"/>
              <w:ind w:left="357"/>
              <w:jc w:val="both"/>
              <w:rPr>
                <w:rFonts w:ascii="Times New Roman" w:hAnsi="Times New Roman"/>
              </w:rPr>
            </w:pPr>
            <w:r w:rsidRPr="009F00FC">
              <w:rPr>
                <w:rFonts w:ascii="Times New Roman" w:hAnsi="Times New Roman"/>
              </w:rPr>
              <w:lastRenderedPageBreak/>
              <w:t xml:space="preserve">Wprowadzony zostanie wymóg uzyskania pozwolenia zintegrowanego dla następujących instalacji, których rodzaje nie były dotychczas objęte przepisami dyrektywy 2010/75/UE: instalacje do wytwarzania baterii, wydobycie następujących rud metali: boksyt, chrom, kobalt, miedź, złoto, żelazo, ołów, lit, mangan, nikiel, pallad, platyna, cyna, wolfram i cynk, a także elektroliza wody do produkcji wodoru. </w:t>
            </w:r>
            <w:r w:rsidR="009C19C7" w:rsidRPr="009F00FC">
              <w:rPr>
                <w:rFonts w:ascii="Times New Roman" w:hAnsi="Times New Roman"/>
              </w:rPr>
              <w:t>Wymogiem uzyskania pozwolenia objęte zostaną również instalacje, których rodzaj</w:t>
            </w:r>
            <w:r w:rsidR="009C19C7" w:rsidRPr="009F00FC">
              <w:rPr>
                <w:rFonts w:ascii="Times New Roman" w:eastAsia="Aptos" w:hAnsi="Times New Roman"/>
                <w:kern w:val="2"/>
                <w14:ligatures w14:val="standardContextual"/>
              </w:rPr>
              <w:t xml:space="preserve"> był objęty zakresem dyrektywy 2010/75/UE, ale dokonano jego zmiany</w:t>
            </w:r>
            <w:r w:rsidR="009C19C7" w:rsidRPr="009F00FC">
              <w:rPr>
                <w:rFonts w:ascii="Times New Roman" w:hAnsi="Times New Roman"/>
              </w:rPr>
              <w:t>. Są to następujące instalacje: piroliza węgla lub innych paliw, eksploatacja walcowni zimnych o wydajności przekraczającej 10 ton surówki na godzinę, eksploatacja kuźni z młotami o energii przekraczającej 50 kilodżuli na młot, eksploatacja kuźni z prasami kuźniczymi o sile nacisku przekraczającej 30 meganiutonów na prasę, wykańczanie włókien</w:t>
            </w:r>
            <w:r w:rsidR="00125BAD" w:rsidRPr="009F00FC">
              <w:rPr>
                <w:rFonts w:ascii="Times New Roman" w:hAnsi="Times New Roman"/>
              </w:rPr>
              <w:t>.</w:t>
            </w:r>
            <w:r w:rsidR="00D75AF4">
              <w:rPr>
                <w:rFonts w:ascii="Times New Roman" w:hAnsi="Times New Roman"/>
              </w:rPr>
              <w:t xml:space="preserve"> </w:t>
            </w:r>
          </w:p>
          <w:p w14:paraId="76943B88" w14:textId="02D9747C" w:rsidR="00125BAD" w:rsidRDefault="002814EA" w:rsidP="00125BAD">
            <w:pPr>
              <w:spacing w:after="120" w:line="240" w:lineRule="auto"/>
              <w:ind w:left="357"/>
              <w:jc w:val="both"/>
              <w:rPr>
                <w:rFonts w:ascii="Times New Roman" w:hAnsi="Times New Roman"/>
              </w:rPr>
            </w:pPr>
            <w:r>
              <w:rPr>
                <w:rFonts w:ascii="Times New Roman" w:hAnsi="Times New Roman"/>
              </w:rPr>
              <w:t>Zmiany w ww. zakresie zostaną wprowadzone poprzez zmian</w:t>
            </w:r>
            <w:r w:rsidR="004D7073">
              <w:rPr>
                <w:rFonts w:ascii="Times New Roman" w:hAnsi="Times New Roman"/>
              </w:rPr>
              <w:t xml:space="preserve">ę </w:t>
            </w:r>
            <w:r>
              <w:rPr>
                <w:rFonts w:ascii="Times New Roman" w:hAnsi="Times New Roman"/>
              </w:rPr>
              <w:t xml:space="preserve">rozporządzenia </w:t>
            </w:r>
            <w:r w:rsidR="004D7073">
              <w:rPr>
                <w:rFonts w:ascii="Times New Roman" w:hAnsi="Times New Roman"/>
              </w:rPr>
              <w:t>M</w:t>
            </w:r>
            <w:r>
              <w:rPr>
                <w:rFonts w:ascii="Times New Roman" w:hAnsi="Times New Roman"/>
              </w:rPr>
              <w:t xml:space="preserve">inistra </w:t>
            </w:r>
            <w:r w:rsidR="004D7073">
              <w:rPr>
                <w:rFonts w:ascii="Times New Roman" w:hAnsi="Times New Roman"/>
              </w:rPr>
              <w:t>Środowiska z dnia 27 sierpnia 2014 r. w sprawie</w:t>
            </w:r>
            <w:r>
              <w:rPr>
                <w:rFonts w:ascii="Times New Roman" w:hAnsi="Times New Roman"/>
              </w:rPr>
              <w:t xml:space="preserve"> rodzaj</w:t>
            </w:r>
            <w:r w:rsidR="004D7073">
              <w:rPr>
                <w:rFonts w:ascii="Times New Roman" w:hAnsi="Times New Roman"/>
              </w:rPr>
              <w:t>ów</w:t>
            </w:r>
            <w:r>
              <w:rPr>
                <w:rFonts w:ascii="Times New Roman" w:hAnsi="Times New Roman"/>
              </w:rPr>
              <w:t xml:space="preserve"> instalacji mogąc</w:t>
            </w:r>
            <w:r w:rsidR="004D7073">
              <w:rPr>
                <w:rFonts w:ascii="Times New Roman" w:hAnsi="Times New Roman"/>
              </w:rPr>
              <w:t>ych</w:t>
            </w:r>
            <w:r>
              <w:rPr>
                <w:rFonts w:ascii="Times New Roman" w:hAnsi="Times New Roman"/>
              </w:rPr>
              <w:t xml:space="preserve"> powodować znaczne zanieczyszczenie poszczególnych elementów przyrodniczych albo środowiska jako całości</w:t>
            </w:r>
            <w:r w:rsidR="004D7073">
              <w:rPr>
                <w:rFonts w:ascii="Times New Roman" w:hAnsi="Times New Roman"/>
              </w:rPr>
              <w:t xml:space="preserve"> (Dz. U. z 2014 r. poz. 1169)</w:t>
            </w:r>
            <w:r>
              <w:rPr>
                <w:rFonts w:ascii="Times New Roman" w:hAnsi="Times New Roman"/>
              </w:rPr>
              <w:t>. W ustawie natomiast planowane jest wprowadzenie dwóch kategorii instalacji</w:t>
            </w:r>
            <w:r w:rsidR="004D7073">
              <w:rPr>
                <w:rFonts w:ascii="Times New Roman" w:hAnsi="Times New Roman"/>
              </w:rPr>
              <w:t>, w celu w</w:t>
            </w:r>
            <w:r w:rsidR="00D75AF4">
              <w:rPr>
                <w:rFonts w:ascii="Times New Roman" w:hAnsi="Times New Roman"/>
              </w:rPr>
              <w:t>prowadzeni</w:t>
            </w:r>
            <w:r w:rsidR="004D7073">
              <w:rPr>
                <w:rFonts w:ascii="Times New Roman" w:hAnsi="Times New Roman"/>
              </w:rPr>
              <w:t>a</w:t>
            </w:r>
            <w:r w:rsidR="00D75AF4">
              <w:rPr>
                <w:rFonts w:ascii="Times New Roman" w:hAnsi="Times New Roman"/>
              </w:rPr>
              <w:t xml:space="preserve"> podziału kompetencji organów właściwych do wydania pozwolenia zintegrowanego nie powiązanego z rozporządzeniem Rady Ministrów </w:t>
            </w:r>
            <w:r w:rsidR="004D7073">
              <w:rPr>
                <w:rFonts w:ascii="Times New Roman" w:hAnsi="Times New Roman"/>
              </w:rPr>
              <w:t xml:space="preserve">z dnia 10 września 2019 r. </w:t>
            </w:r>
            <w:r w:rsidR="00D75AF4">
              <w:rPr>
                <w:rFonts w:ascii="Times New Roman" w:hAnsi="Times New Roman"/>
              </w:rPr>
              <w:t>w sprawie rodzajów przedsięwzięć mogących znacząco oddziaływać na środowisko</w:t>
            </w:r>
            <w:r w:rsidR="004D7073">
              <w:rPr>
                <w:rFonts w:ascii="Times New Roman" w:hAnsi="Times New Roman"/>
              </w:rPr>
              <w:t xml:space="preserve"> (Dz. U. z 2019 r. poz. 1839)</w:t>
            </w:r>
            <w:r w:rsidR="00D75AF4">
              <w:rPr>
                <w:rFonts w:ascii="Times New Roman" w:hAnsi="Times New Roman"/>
              </w:rPr>
              <w:t>.</w:t>
            </w:r>
          </w:p>
          <w:p w14:paraId="6E0A8CE6" w14:textId="0F95A96B" w:rsidR="00AC6AE3" w:rsidRPr="009F00FC" w:rsidRDefault="004D7073" w:rsidP="002D2B42">
            <w:pPr>
              <w:spacing w:after="120" w:line="240" w:lineRule="auto"/>
              <w:ind w:left="357"/>
              <w:jc w:val="both"/>
              <w:rPr>
                <w:rFonts w:ascii="Times New Roman" w:hAnsi="Times New Roman"/>
              </w:rPr>
            </w:pPr>
            <w:r>
              <w:rPr>
                <w:rFonts w:ascii="Times New Roman" w:hAnsi="Times New Roman"/>
              </w:rPr>
              <w:t>Zmiana ta ma z</w:t>
            </w:r>
            <w:r w:rsidR="00D632AD">
              <w:rPr>
                <w:rFonts w:ascii="Times New Roman" w:hAnsi="Times New Roman"/>
              </w:rPr>
              <w:t>apewni</w:t>
            </w:r>
            <w:r>
              <w:rPr>
                <w:rFonts w:ascii="Times New Roman" w:hAnsi="Times New Roman"/>
              </w:rPr>
              <w:t>ć</w:t>
            </w:r>
            <w:r w:rsidR="00D632AD">
              <w:rPr>
                <w:rFonts w:ascii="Times New Roman" w:hAnsi="Times New Roman"/>
              </w:rPr>
              <w:t xml:space="preserve"> jasnoś</w:t>
            </w:r>
            <w:r>
              <w:rPr>
                <w:rFonts w:ascii="Times New Roman" w:hAnsi="Times New Roman"/>
              </w:rPr>
              <w:t>ć</w:t>
            </w:r>
            <w:r w:rsidR="00D632AD">
              <w:rPr>
                <w:rFonts w:ascii="Times New Roman" w:hAnsi="Times New Roman"/>
              </w:rPr>
              <w:t xml:space="preserve"> co do właściwości organu</w:t>
            </w:r>
            <w:r w:rsidR="00F65675">
              <w:rPr>
                <w:rFonts w:ascii="Times New Roman" w:hAnsi="Times New Roman"/>
              </w:rPr>
              <w:t>,</w:t>
            </w:r>
            <w:r w:rsidR="00D632AD">
              <w:rPr>
                <w:rFonts w:ascii="Times New Roman" w:hAnsi="Times New Roman"/>
              </w:rPr>
              <w:t xml:space="preserve"> który powinien wydać pozwolenie zintegrowane </w:t>
            </w:r>
            <w:r w:rsidR="00F65675">
              <w:rPr>
                <w:rFonts w:ascii="Times New Roman" w:hAnsi="Times New Roman"/>
              </w:rPr>
              <w:t xml:space="preserve">dla danego rodzaju instalacji </w:t>
            </w:r>
            <w:r>
              <w:rPr>
                <w:rFonts w:ascii="Times New Roman" w:hAnsi="Times New Roman"/>
              </w:rPr>
              <w:t>i pozwoli</w:t>
            </w:r>
            <w:r w:rsidR="00F65675">
              <w:rPr>
                <w:rFonts w:ascii="Times New Roman" w:hAnsi="Times New Roman"/>
              </w:rPr>
              <w:t xml:space="preserve"> precyzyjn</w:t>
            </w:r>
            <w:r>
              <w:rPr>
                <w:rFonts w:ascii="Times New Roman" w:hAnsi="Times New Roman"/>
              </w:rPr>
              <w:t>i</w:t>
            </w:r>
            <w:r w:rsidR="00F65675">
              <w:rPr>
                <w:rFonts w:ascii="Times New Roman" w:hAnsi="Times New Roman"/>
              </w:rPr>
              <w:t>e odnie</w:t>
            </w:r>
            <w:r>
              <w:rPr>
                <w:rFonts w:ascii="Times New Roman" w:hAnsi="Times New Roman"/>
              </w:rPr>
              <w:t xml:space="preserve">ść </w:t>
            </w:r>
            <w:r w:rsidR="00F65675">
              <w:rPr>
                <w:rFonts w:ascii="Times New Roman" w:hAnsi="Times New Roman"/>
              </w:rPr>
              <w:t xml:space="preserve">się do konkretnych rodzajów instalacji lub grup instalacji, uwzględniając przy tym także nowe branże objęte obowiązkiem uzyskania pozwolenia zintegrowanego w związku ze zmianą IED. </w:t>
            </w:r>
          </w:p>
          <w:p w14:paraId="5E5C6EFE" w14:textId="1A82E425" w:rsidR="00125BAD" w:rsidRPr="009F00FC" w:rsidRDefault="00125BAD">
            <w:pPr>
              <w:numPr>
                <w:ilvl w:val="0"/>
                <w:numId w:val="10"/>
              </w:numPr>
              <w:tabs>
                <w:tab w:val="left" w:pos="320"/>
              </w:tabs>
              <w:spacing w:line="240" w:lineRule="auto"/>
              <w:jc w:val="both"/>
              <w:rPr>
                <w:rFonts w:ascii="Times New Roman" w:hAnsi="Times New Roman"/>
                <w:b/>
                <w:bCs/>
                <w:u w:val="single"/>
              </w:rPr>
            </w:pPr>
            <w:r w:rsidRPr="009F00FC">
              <w:rPr>
                <w:rFonts w:ascii="Times New Roman" w:hAnsi="Times New Roman"/>
                <w:b/>
                <w:u w:val="single"/>
              </w:rPr>
              <w:t>Szczególne przepisy dot. chowu i hodowli świń i drobiu</w:t>
            </w:r>
          </w:p>
          <w:p w14:paraId="3A40C2F2" w14:textId="076145BF" w:rsidR="00ED063A" w:rsidRPr="009F00FC" w:rsidRDefault="00FA6899" w:rsidP="002D09FD">
            <w:pPr>
              <w:tabs>
                <w:tab w:val="left" w:pos="320"/>
              </w:tabs>
              <w:spacing w:after="120" w:line="240" w:lineRule="auto"/>
              <w:ind w:left="357"/>
              <w:jc w:val="both"/>
              <w:rPr>
                <w:rFonts w:ascii="Times New Roman" w:hAnsi="Times New Roman"/>
                <w:bCs/>
              </w:rPr>
            </w:pPr>
            <w:r>
              <w:rPr>
                <w:rFonts w:ascii="Times New Roman" w:hAnsi="Times New Roman"/>
                <w:bCs/>
              </w:rPr>
              <w:t xml:space="preserve">W ślad za zmianami w dyrektywie kwalifikacja do obowiązku uzyskania pozwolenia zintegrowanego zostanie uzależniona od ilości jednostek przeliczeniowych, co będzie mieć przełożenie także na pewne zwiększenie ilości instalacji wymagających uzyskania tego typu decyzji. Jednocześnie w IED zastosowano jednostki przeliczeniowe odmienne od tych </w:t>
            </w:r>
            <w:r w:rsidR="00C64E0F">
              <w:rPr>
                <w:rFonts w:ascii="Times New Roman" w:hAnsi="Times New Roman"/>
                <w:bCs/>
              </w:rPr>
              <w:t xml:space="preserve">wynikających z innych regulacji EU i </w:t>
            </w:r>
            <w:r>
              <w:rPr>
                <w:rFonts w:ascii="Times New Roman" w:hAnsi="Times New Roman"/>
                <w:bCs/>
              </w:rPr>
              <w:t xml:space="preserve">wykorzystywanych </w:t>
            </w:r>
            <w:r w:rsidR="00C64E0F">
              <w:rPr>
                <w:rFonts w:ascii="Times New Roman" w:hAnsi="Times New Roman"/>
                <w:bCs/>
              </w:rPr>
              <w:t xml:space="preserve">np. </w:t>
            </w:r>
            <w:r>
              <w:rPr>
                <w:rFonts w:ascii="Times New Roman" w:hAnsi="Times New Roman"/>
                <w:bCs/>
              </w:rPr>
              <w:t xml:space="preserve">w rozporządzeniu </w:t>
            </w:r>
            <w:r w:rsidRPr="00FA6899">
              <w:rPr>
                <w:rFonts w:ascii="Times New Roman" w:hAnsi="Times New Roman"/>
                <w:bCs/>
              </w:rPr>
              <w:t>Rady Ministrów z dnia 10 września 2019 r. w sprawie przedsięwzięć mogących znacząco oddziaływać na środowisk</w:t>
            </w:r>
            <w:r w:rsidR="00C64E0F">
              <w:rPr>
                <w:rFonts w:ascii="Times New Roman" w:hAnsi="Times New Roman"/>
                <w:bCs/>
              </w:rPr>
              <w:t>o (Dz.U. poz. 1839</w:t>
            </w:r>
            <w:r w:rsidR="00744C92">
              <w:rPr>
                <w:rFonts w:ascii="Times New Roman" w:hAnsi="Times New Roman"/>
                <w:bCs/>
              </w:rPr>
              <w:t xml:space="preserve"> ze zm.</w:t>
            </w:r>
            <w:r w:rsidR="00C64E0F">
              <w:rPr>
                <w:rFonts w:ascii="Times New Roman" w:hAnsi="Times New Roman"/>
                <w:bCs/>
              </w:rPr>
              <w:t xml:space="preserve">). W celu ujednolicenia przepisów krajowych zasadne wydaje </w:t>
            </w:r>
            <w:r w:rsidR="001627B7">
              <w:rPr>
                <w:rFonts w:ascii="Times New Roman" w:hAnsi="Times New Roman"/>
                <w:bCs/>
              </w:rPr>
              <w:t xml:space="preserve">się </w:t>
            </w:r>
            <w:r w:rsidR="00C64E0F">
              <w:rPr>
                <w:rFonts w:ascii="Times New Roman" w:hAnsi="Times New Roman"/>
                <w:bCs/>
              </w:rPr>
              <w:t xml:space="preserve">podjęcie próby przeliczenia wskaźników z IED jednak może </w:t>
            </w:r>
            <w:r w:rsidR="0088483D">
              <w:rPr>
                <w:rFonts w:ascii="Times New Roman" w:hAnsi="Times New Roman"/>
                <w:bCs/>
              </w:rPr>
              <w:t>to istotnie utrudnić</w:t>
            </w:r>
            <w:r>
              <w:rPr>
                <w:rFonts w:ascii="Times New Roman" w:hAnsi="Times New Roman"/>
                <w:bCs/>
              </w:rPr>
              <w:t xml:space="preserve"> </w:t>
            </w:r>
            <w:r w:rsidR="0088483D">
              <w:rPr>
                <w:rFonts w:ascii="Times New Roman" w:hAnsi="Times New Roman"/>
                <w:bCs/>
              </w:rPr>
              <w:t>odmienne zróżnicowanie rodzaj</w:t>
            </w:r>
            <w:r w:rsidR="001627B7">
              <w:rPr>
                <w:rFonts w:ascii="Times New Roman" w:hAnsi="Times New Roman"/>
                <w:bCs/>
              </w:rPr>
              <w:t>ów</w:t>
            </w:r>
            <w:r w:rsidR="0088483D">
              <w:rPr>
                <w:rFonts w:ascii="Times New Roman" w:hAnsi="Times New Roman"/>
                <w:bCs/>
              </w:rPr>
              <w:t xml:space="preserve"> zwierząt w poszczególnych aktach prawnych. </w:t>
            </w:r>
            <w:r w:rsidR="00ED063A" w:rsidRPr="009F00FC">
              <w:rPr>
                <w:rFonts w:ascii="Times New Roman" w:hAnsi="Times New Roman"/>
                <w:bCs/>
              </w:rPr>
              <w:t>Ponadto</w:t>
            </w:r>
            <w:r w:rsidR="004F1781" w:rsidRPr="009F00FC">
              <w:rPr>
                <w:rFonts w:ascii="Times New Roman" w:hAnsi="Times New Roman"/>
                <w:bCs/>
              </w:rPr>
              <w:t>,</w:t>
            </w:r>
            <w:r w:rsidR="00ED063A" w:rsidRPr="009F00FC">
              <w:rPr>
                <w:rFonts w:ascii="Times New Roman" w:hAnsi="Times New Roman"/>
                <w:bCs/>
              </w:rPr>
              <w:t xml:space="preserve"> </w:t>
            </w:r>
            <w:r w:rsidR="0088483D">
              <w:rPr>
                <w:rFonts w:ascii="Times New Roman" w:hAnsi="Times New Roman"/>
                <w:bCs/>
              </w:rPr>
              <w:t>wprowadzone zostaną zapisy dotyczące sumowania obsad instalacji zlokalizowanych w bezpośrednim sąsiedztwie aby nie dochodziło do ich fragmentacji, która w efekcie powoduje, że instalacja nie wymaga uzyskania pozwolenia zintegrowanego.</w:t>
            </w:r>
          </w:p>
          <w:p w14:paraId="621B2BAC" w14:textId="6646D57B" w:rsidR="007E641E" w:rsidRPr="009F00FC" w:rsidRDefault="00125BAD">
            <w:pPr>
              <w:pStyle w:val="Akapitzlist"/>
              <w:numPr>
                <w:ilvl w:val="0"/>
                <w:numId w:val="10"/>
              </w:numPr>
              <w:tabs>
                <w:tab w:val="left" w:pos="320"/>
              </w:tabs>
              <w:spacing w:line="240" w:lineRule="auto"/>
              <w:jc w:val="both"/>
              <w:rPr>
                <w:rFonts w:ascii="Times New Roman" w:hAnsi="Times New Roman"/>
                <w:b/>
                <w:bCs/>
                <w:u w:val="single"/>
              </w:rPr>
            </w:pPr>
            <w:r w:rsidRPr="009F00FC">
              <w:rPr>
                <w:rFonts w:ascii="Times New Roman" w:hAnsi="Times New Roman"/>
                <w:b/>
                <w:bCs/>
                <w:u w:val="single"/>
              </w:rPr>
              <w:t xml:space="preserve">Odstępstwa </w:t>
            </w:r>
            <w:r w:rsidR="007E641E" w:rsidRPr="009F00FC">
              <w:rPr>
                <w:rFonts w:ascii="Times New Roman" w:hAnsi="Times New Roman"/>
                <w:b/>
                <w:bCs/>
                <w:u w:val="single"/>
              </w:rPr>
              <w:t>w sytuacjach kryzysowych/ siły wyższej</w:t>
            </w:r>
            <w:r w:rsidR="009C19C7" w:rsidRPr="009F00FC">
              <w:rPr>
                <w:rFonts w:ascii="Times New Roman" w:hAnsi="Times New Roman"/>
              </w:rPr>
              <w:t xml:space="preserve"> </w:t>
            </w:r>
          </w:p>
          <w:p w14:paraId="5B2DC521" w14:textId="23B87CFD" w:rsidR="007E641E" w:rsidRDefault="004146E6" w:rsidP="004146E6">
            <w:pPr>
              <w:spacing w:after="120" w:line="240" w:lineRule="auto"/>
              <w:ind w:left="360"/>
              <w:jc w:val="both"/>
              <w:rPr>
                <w:rFonts w:ascii="Times New Roman" w:eastAsia="Times New Roman" w:hAnsi="Times New Roman"/>
              </w:rPr>
            </w:pPr>
            <w:r w:rsidRPr="009F00FC">
              <w:rPr>
                <w:rFonts w:ascii="Times New Roman" w:eastAsia="Times New Roman" w:hAnsi="Times New Roman"/>
              </w:rPr>
              <w:t xml:space="preserve">Polska przyjęła niezbędne zmiany w prawie krajowym mające na celu zapewnienie możliwości funkcjonowania tego typu instalacji w sytuacji kryzysowej. Przepisy te miały jednak charakter tymczasowy, dlatego też konieczne </w:t>
            </w:r>
            <w:r w:rsidR="004F1781" w:rsidRPr="009F00FC">
              <w:rPr>
                <w:rFonts w:ascii="Times New Roman" w:eastAsia="Times New Roman" w:hAnsi="Times New Roman"/>
              </w:rPr>
              <w:t>jest</w:t>
            </w:r>
            <w:r w:rsidRPr="009F00FC">
              <w:rPr>
                <w:rFonts w:ascii="Times New Roman" w:eastAsia="Times New Roman" w:hAnsi="Times New Roman"/>
              </w:rPr>
              <w:t xml:space="preserve"> zapewnienie stałej podstawy prawnej w tego typu sytuacjach.</w:t>
            </w:r>
          </w:p>
          <w:p w14:paraId="30716544" w14:textId="7CD9885F" w:rsidR="000B2418" w:rsidRPr="000B2418" w:rsidRDefault="000B2418" w:rsidP="000B2418">
            <w:pPr>
              <w:pStyle w:val="Akapitzlist"/>
              <w:numPr>
                <w:ilvl w:val="0"/>
                <w:numId w:val="10"/>
              </w:numPr>
              <w:tabs>
                <w:tab w:val="left" w:pos="320"/>
              </w:tabs>
              <w:spacing w:after="120" w:line="240" w:lineRule="auto"/>
              <w:jc w:val="both"/>
              <w:rPr>
                <w:rFonts w:ascii="Times New Roman" w:hAnsi="Times New Roman"/>
                <w:b/>
                <w:bCs/>
                <w:u w:val="single"/>
              </w:rPr>
            </w:pPr>
            <w:r w:rsidRPr="000B2418">
              <w:rPr>
                <w:rFonts w:ascii="Times New Roman" w:hAnsi="Times New Roman"/>
              </w:rPr>
              <w:t xml:space="preserve"> </w:t>
            </w:r>
            <w:r>
              <w:rPr>
                <w:rFonts w:ascii="Times New Roman" w:hAnsi="Times New Roman"/>
                <w:b/>
                <w:bCs/>
                <w:u w:val="single"/>
              </w:rPr>
              <w:t>I</w:t>
            </w:r>
            <w:r w:rsidRPr="000B2418">
              <w:rPr>
                <w:rFonts w:ascii="Times New Roman" w:hAnsi="Times New Roman"/>
                <w:b/>
                <w:bCs/>
                <w:u w:val="single"/>
              </w:rPr>
              <w:t xml:space="preserve">nne zmiany </w:t>
            </w:r>
          </w:p>
          <w:p w14:paraId="06C9CE35" w14:textId="135022BA" w:rsidR="006A349F" w:rsidRDefault="000B2418" w:rsidP="006A349F">
            <w:pPr>
              <w:pStyle w:val="Akapitzlist"/>
              <w:tabs>
                <w:tab w:val="left" w:pos="320"/>
              </w:tabs>
              <w:spacing w:after="120" w:line="240" w:lineRule="auto"/>
              <w:ind w:left="384"/>
              <w:jc w:val="both"/>
              <w:rPr>
                <w:rFonts w:ascii="Times New Roman" w:hAnsi="Times New Roman"/>
                <w:bCs/>
              </w:rPr>
            </w:pPr>
            <w:r>
              <w:rPr>
                <w:rFonts w:ascii="Times New Roman" w:hAnsi="Times New Roman"/>
              </w:rPr>
              <w:t>Doprecyzowana zostanie definicja zanieczyszczenia poprzez uwzględnienie odorów</w:t>
            </w:r>
            <w:r w:rsidR="006A349F">
              <w:rPr>
                <w:rFonts w:ascii="Times New Roman" w:hAnsi="Times New Roman"/>
              </w:rPr>
              <w:t xml:space="preserve">. Należy jednak zaznaczyć, że dyrektywa </w:t>
            </w:r>
            <w:r w:rsidR="006A349F" w:rsidRPr="009F00FC">
              <w:rPr>
                <w:rFonts w:ascii="Times New Roman" w:hAnsi="Times New Roman"/>
                <w:bCs/>
              </w:rPr>
              <w:t>2024/1785</w:t>
            </w:r>
            <w:r w:rsidR="006A349F">
              <w:rPr>
                <w:rFonts w:ascii="Times New Roman" w:hAnsi="Times New Roman"/>
                <w:bCs/>
              </w:rPr>
              <w:t xml:space="preserve"> jak i przedmiotowa nowelizacja nie zmieniają funkcjonujących dotychczas wymagań, mogących obejmować także ograniczanie lub monitorowanie emisji odorów.</w:t>
            </w:r>
          </w:p>
          <w:p w14:paraId="0946C06B" w14:textId="79532B95" w:rsidR="000B2418" w:rsidRPr="006A349F" w:rsidRDefault="006A349F" w:rsidP="006A349F">
            <w:pPr>
              <w:pStyle w:val="Akapitzlist"/>
              <w:tabs>
                <w:tab w:val="left" w:pos="320"/>
              </w:tabs>
              <w:spacing w:after="120" w:line="240" w:lineRule="auto"/>
              <w:ind w:left="384"/>
              <w:jc w:val="both"/>
              <w:rPr>
                <w:rFonts w:ascii="Times New Roman" w:hAnsi="Times New Roman"/>
                <w:bCs/>
              </w:rPr>
            </w:pPr>
            <w:r>
              <w:rPr>
                <w:rFonts w:ascii="Times New Roman" w:hAnsi="Times New Roman"/>
                <w:bCs/>
              </w:rPr>
              <w:t xml:space="preserve">Zaproponowane zostaną zmiany dotyczące oceny kiedy emisja danego zanieczyszczenia do powietrza jest istotna na tyle aby określić dla niego dopuszczalną wielkość emisji w pozwoleniu zintegrowanym. Będą to zanieczyszczenia, dla których w Konkluzjach BAT określono BAT AELs lub poziomy wskaźnikowe jak również (dodatkowo) te spośród wprowadzanych do powietrza substancji, które spełnią kryterium wskazane w art 224 ust. 3 ustawy Poś. </w:t>
            </w:r>
          </w:p>
          <w:p w14:paraId="2DC06A62" w14:textId="6479F190" w:rsidR="00E47E31" w:rsidRPr="00570B95" w:rsidRDefault="00B41F53" w:rsidP="00AC6AE3">
            <w:pPr>
              <w:rPr>
                <w:rFonts w:ascii="Times New Roman" w:hAnsi="Times New Roman"/>
              </w:rPr>
            </w:pPr>
            <w:r w:rsidRPr="00570B95">
              <w:rPr>
                <w:rFonts w:ascii="Times New Roman" w:hAnsi="Times New Roman"/>
                <w:b/>
                <w:bCs/>
              </w:rPr>
              <w:t xml:space="preserve">II. </w:t>
            </w:r>
            <w:r w:rsidR="004A6237" w:rsidRPr="00570B95">
              <w:rPr>
                <w:rFonts w:ascii="Times New Roman" w:hAnsi="Times New Roman"/>
                <w:b/>
                <w:bCs/>
              </w:rPr>
              <w:t xml:space="preserve">Zmiany wynikające z </w:t>
            </w:r>
            <w:r w:rsidRPr="00570B95">
              <w:rPr>
                <w:rFonts w:ascii="Times New Roman" w:hAnsi="Times New Roman"/>
                <w:b/>
                <w:bCs/>
              </w:rPr>
              <w:t>zarzutów formalnych Komisji Europejskiej określonych w naruszeniu nr 2023/2173</w:t>
            </w:r>
          </w:p>
          <w:p w14:paraId="330FFD93" w14:textId="59EE8B64" w:rsidR="00D83483" w:rsidRPr="009F00FC" w:rsidRDefault="00D83483" w:rsidP="00137318">
            <w:pPr>
              <w:pStyle w:val="Akapitzlist"/>
              <w:spacing w:before="120" w:after="120" w:line="240" w:lineRule="auto"/>
              <w:ind w:left="360"/>
              <w:jc w:val="both"/>
              <w:rPr>
                <w:rFonts w:ascii="Times New Roman" w:hAnsi="Times New Roman"/>
              </w:rPr>
            </w:pPr>
            <w:r w:rsidRPr="009F00FC">
              <w:rPr>
                <w:rFonts w:ascii="Times New Roman" w:hAnsi="Times New Roman"/>
                <w:b/>
                <w:bCs/>
              </w:rPr>
              <w:t xml:space="preserve">Zarzut nr 3.24. Brak transpozycji art. 14 ust. 5 akapit pierwszy dyrektywy 2010/75/UE </w:t>
            </w:r>
            <w:r w:rsidRPr="009F00FC">
              <w:rPr>
                <w:rFonts w:ascii="Times New Roman" w:hAnsi="Times New Roman"/>
              </w:rPr>
              <w:t xml:space="preserve">- Po dokonanej analizie należy przyznać, iż brak jest w przepisie art. 143 pkt 4, 6 oraz 2 i 3 </w:t>
            </w:r>
            <w:r w:rsidR="00C60AF5" w:rsidRPr="009F00FC">
              <w:rPr>
                <w:rFonts w:ascii="Times New Roman" w:hAnsi="Times New Roman"/>
              </w:rPr>
              <w:t xml:space="preserve">Poś </w:t>
            </w:r>
            <w:r w:rsidRPr="009F00FC">
              <w:rPr>
                <w:rFonts w:ascii="Times New Roman" w:hAnsi="Times New Roman"/>
              </w:rPr>
              <w:t>transponującym odpowiednio z załącznika III pkt 3, 4 i 9 dyrektywy 2010/75/UE odpowiednich sformułowań w pełni transponujących przepisy dyrektywy, co pośrednio wpływa na brak transpozycji tego przepisu.</w:t>
            </w:r>
            <w:r w:rsidR="00C60AF5" w:rsidRPr="009F00FC">
              <w:rPr>
                <w:rFonts w:ascii="Times New Roman" w:hAnsi="Times New Roman"/>
              </w:rPr>
              <w:t xml:space="preserve"> Dokonana zostanie odpowiednia zmiana w ww. przepisach Poś.</w:t>
            </w:r>
          </w:p>
          <w:p w14:paraId="077FCE5E" w14:textId="08300795" w:rsidR="00D83483" w:rsidRPr="009F00FC" w:rsidRDefault="00D83483" w:rsidP="007079B7">
            <w:pPr>
              <w:pStyle w:val="Akapitzlist"/>
              <w:spacing w:before="120" w:after="120" w:line="240" w:lineRule="auto"/>
              <w:ind w:left="360"/>
              <w:jc w:val="both"/>
              <w:rPr>
                <w:rFonts w:ascii="Times New Roman" w:hAnsi="Times New Roman"/>
                <w:b/>
                <w:bCs/>
              </w:rPr>
            </w:pPr>
            <w:r w:rsidRPr="009F00FC">
              <w:rPr>
                <w:rFonts w:ascii="Times New Roman" w:hAnsi="Times New Roman"/>
                <w:b/>
                <w:bCs/>
              </w:rPr>
              <w:t xml:space="preserve">Zarzut nr 3.25. Nieprawidłowa transpozycja art. 14 ust. 6 dyrektywy 2010/75/UE </w:t>
            </w:r>
            <w:r w:rsidRPr="009F00FC">
              <w:rPr>
                <w:rFonts w:ascii="Times New Roman" w:hAnsi="Times New Roman"/>
              </w:rPr>
              <w:t>- Po dokonanej analizie należy przyznać, iż brak jest w przepisie art. 143 pkt 4, 6 oraz 2 i 3 transponującym odpowiednio z załącznika III pkt 3, 4 i 9 dyrektywy 2010/75/UE odpowiednich sformułowań w pełni transponujących przepisy dyrektywy, co pośrednio wpływa na brak transpozycji tego przepisu.</w:t>
            </w:r>
            <w:r w:rsidR="00C60AF5" w:rsidRPr="009F00FC">
              <w:rPr>
                <w:rFonts w:ascii="Times New Roman" w:hAnsi="Times New Roman"/>
              </w:rPr>
              <w:t xml:space="preserve"> Dokonana zostanie odpowiednia zmiana w ww. przepisach Poś.</w:t>
            </w:r>
          </w:p>
          <w:p w14:paraId="4D1C9715" w14:textId="517A89E4" w:rsidR="00D83483" w:rsidRPr="009F00FC" w:rsidRDefault="00D83483" w:rsidP="007079B7">
            <w:pPr>
              <w:pStyle w:val="Akapitzlist"/>
              <w:spacing w:before="120" w:after="120" w:line="240" w:lineRule="auto"/>
              <w:ind w:left="360"/>
              <w:jc w:val="both"/>
              <w:rPr>
                <w:rFonts w:ascii="Times New Roman" w:hAnsi="Times New Roman"/>
                <w:b/>
                <w:bCs/>
              </w:rPr>
            </w:pPr>
            <w:r w:rsidRPr="009F00FC">
              <w:rPr>
                <w:rFonts w:ascii="Times New Roman" w:hAnsi="Times New Roman"/>
                <w:b/>
                <w:bCs/>
              </w:rPr>
              <w:t>Zarzut nr 3.28. Nieprawidłowa transpozycja art. 15 ust. 4 lit a) i b) dyrektywy 2010/75/UE</w:t>
            </w:r>
            <w:r w:rsidRPr="009F00FC">
              <w:rPr>
                <w:rFonts w:ascii="Times New Roman" w:hAnsi="Times New Roman"/>
              </w:rPr>
              <w:t xml:space="preserve"> -</w:t>
            </w:r>
            <w:r w:rsidRPr="009F00FC">
              <w:rPr>
                <w:rFonts w:ascii="Times New Roman" w:hAnsi="Times New Roman"/>
                <w:b/>
                <w:bCs/>
              </w:rPr>
              <w:t xml:space="preserve"> </w:t>
            </w:r>
            <w:r w:rsidRPr="009F00FC">
              <w:rPr>
                <w:rFonts w:ascii="Times New Roman" w:hAnsi="Times New Roman"/>
              </w:rPr>
              <w:t>Uznane zostało stanowisko Komisji Europejskiej, iż zapis o dodatkowym kryterium „inne czynniki mające wpływ na funkcjonowanie instalacji i środowisko jako całość” jest zbędny, gdyż może sugerować, że inne niż wskazane w dyrektywie kryteria miały znaczenie dla procedury udzielania odstępstw. Zapis „inne czynniki mające wpływ na funkcjonowanie instalacji i środowisko jako całość” należy wykreślić ze względu na ryzyko błędnej interpretacji.</w:t>
            </w:r>
          </w:p>
          <w:p w14:paraId="5CDCDD8A" w14:textId="2BDBC3B8" w:rsidR="00D83483" w:rsidRPr="009F00FC" w:rsidRDefault="00D83483" w:rsidP="007079B7">
            <w:pPr>
              <w:pStyle w:val="Akapitzlist"/>
              <w:spacing w:before="120" w:after="120" w:line="240" w:lineRule="auto"/>
              <w:ind w:left="360"/>
              <w:jc w:val="both"/>
              <w:rPr>
                <w:rFonts w:ascii="Times New Roman" w:hAnsi="Times New Roman"/>
                <w:b/>
                <w:bCs/>
              </w:rPr>
            </w:pPr>
            <w:r w:rsidRPr="009F00FC">
              <w:rPr>
                <w:rFonts w:ascii="Times New Roman" w:hAnsi="Times New Roman"/>
                <w:b/>
                <w:bCs/>
              </w:rPr>
              <w:t xml:space="preserve">Zarzut nr 3.33. Brak transpozycji art. 21 ust. 2 akapit drugi dyrektywy 2010/75/UE </w:t>
            </w:r>
            <w:r w:rsidRPr="009F00FC">
              <w:rPr>
                <w:rFonts w:ascii="Times New Roman" w:hAnsi="Times New Roman"/>
              </w:rPr>
              <w:t xml:space="preserve">- W praktyce właściwy organ bierze pod uwagę wyniki kontroli. Tym niemniej w celu zapewnienia pełnej zgodności z dyrektywą transpozycja </w:t>
            </w:r>
            <w:r w:rsidRPr="009F00FC">
              <w:rPr>
                <w:rFonts w:ascii="Times New Roman" w:hAnsi="Times New Roman"/>
              </w:rPr>
              <w:lastRenderedPageBreak/>
              <w:t>przepisu art. 21 ust. 2 akapit drugi dyrektywy 2010/75/UE w zakresie dotyczącym kontroli zostanie uzupełniona w przepisach krajowych.</w:t>
            </w:r>
          </w:p>
          <w:p w14:paraId="202BD9F7" w14:textId="188CC1F2" w:rsidR="00D83483" w:rsidRPr="009F00FC" w:rsidRDefault="00D83483" w:rsidP="007079B7">
            <w:pPr>
              <w:pStyle w:val="Akapitzlist"/>
              <w:spacing w:before="120" w:after="120" w:line="240" w:lineRule="auto"/>
              <w:ind w:left="360"/>
              <w:jc w:val="both"/>
              <w:rPr>
                <w:rFonts w:ascii="Times New Roman" w:hAnsi="Times New Roman"/>
                <w:b/>
                <w:bCs/>
              </w:rPr>
            </w:pPr>
            <w:r w:rsidRPr="009F00FC">
              <w:rPr>
                <w:rFonts w:ascii="Times New Roman" w:hAnsi="Times New Roman"/>
                <w:b/>
                <w:bCs/>
              </w:rPr>
              <w:t xml:space="preserve">Zarzut nr 3.36. Brak transpozycji art. 24 ust. 2 lit. d)–e) dyrektywy 2010/75/UE </w:t>
            </w:r>
            <w:r w:rsidR="007079B7" w:rsidRPr="009F00FC">
              <w:rPr>
                <w:rFonts w:ascii="Times New Roman" w:hAnsi="Times New Roman"/>
              </w:rPr>
              <w:t>-</w:t>
            </w:r>
            <w:r w:rsidRPr="009F00FC">
              <w:rPr>
                <w:rFonts w:ascii="Times New Roman" w:hAnsi="Times New Roman"/>
              </w:rPr>
              <w:t xml:space="preserve"> </w:t>
            </w:r>
            <w:r w:rsidR="007079B7" w:rsidRPr="009F00FC">
              <w:rPr>
                <w:rFonts w:ascii="Times New Roman" w:hAnsi="Times New Roman"/>
              </w:rPr>
              <w:t xml:space="preserve">Dodany zostanie przepis </w:t>
            </w:r>
            <w:r w:rsidRPr="009F00FC">
              <w:rPr>
                <w:rFonts w:ascii="Times New Roman" w:hAnsi="Times New Roman"/>
              </w:rPr>
              <w:t>o</w:t>
            </w:r>
            <w:r w:rsidR="007079B7" w:rsidRPr="009F00FC">
              <w:rPr>
                <w:rFonts w:ascii="Times New Roman" w:hAnsi="Times New Roman"/>
              </w:rPr>
              <w:t>kreślający konieczność</w:t>
            </w:r>
            <w:r w:rsidRPr="009F00FC">
              <w:rPr>
                <w:rFonts w:ascii="Times New Roman" w:hAnsi="Times New Roman"/>
              </w:rPr>
              <w:t xml:space="preserve"> zamieszczenia nazwy dokumentu referencyjnego BAT dla danej instalacji lub działalności.</w:t>
            </w:r>
          </w:p>
          <w:p w14:paraId="274B70CC" w14:textId="5123188A" w:rsidR="00D83483" w:rsidRPr="009F00FC" w:rsidRDefault="00D83483" w:rsidP="007079B7">
            <w:pPr>
              <w:pStyle w:val="Akapitzlist"/>
              <w:spacing w:before="120" w:after="120" w:line="240" w:lineRule="auto"/>
              <w:ind w:left="360"/>
              <w:jc w:val="both"/>
              <w:rPr>
                <w:rFonts w:ascii="Times New Roman" w:hAnsi="Times New Roman"/>
                <w:b/>
                <w:bCs/>
              </w:rPr>
            </w:pPr>
            <w:r w:rsidRPr="009F00FC">
              <w:rPr>
                <w:rFonts w:ascii="Times New Roman" w:hAnsi="Times New Roman"/>
                <w:b/>
                <w:bCs/>
              </w:rPr>
              <w:t xml:space="preserve">Zarzut nr 3.69. Brak transpozycji pkt 6.4 lit. b) akapit trzeci załącznika I do dyrektywy 2010/75/UE </w:t>
            </w:r>
            <w:r w:rsidRPr="009F00FC">
              <w:rPr>
                <w:rFonts w:ascii="Times New Roman" w:hAnsi="Times New Roman"/>
              </w:rPr>
              <w:t>– zmiany do rozporządzenia Ministra Środowiska z dnia 27 sierpnia 2014 r., celem zapewnienia prawidłowej i pełnej transpozycji pkt 6.4 lit. b) akapit trzeci załącznika I do dyrektywy 2010/75/UE</w:t>
            </w:r>
            <w:r w:rsidR="00892202" w:rsidRPr="009F00FC">
              <w:rPr>
                <w:rFonts w:ascii="Times New Roman" w:hAnsi="Times New Roman"/>
              </w:rPr>
              <w:t>.</w:t>
            </w:r>
          </w:p>
          <w:p w14:paraId="14330D44" w14:textId="143E10A7" w:rsidR="00D83483" w:rsidRPr="009F00FC" w:rsidRDefault="00D83483" w:rsidP="00892202">
            <w:pPr>
              <w:pStyle w:val="Akapitzlist"/>
              <w:spacing w:before="120" w:after="120" w:line="240" w:lineRule="auto"/>
              <w:ind w:left="360"/>
              <w:jc w:val="both"/>
              <w:rPr>
                <w:rFonts w:ascii="Times New Roman" w:hAnsi="Times New Roman"/>
                <w:b/>
                <w:bCs/>
              </w:rPr>
            </w:pPr>
            <w:r w:rsidRPr="009F00FC">
              <w:rPr>
                <w:rFonts w:ascii="Times New Roman" w:hAnsi="Times New Roman"/>
                <w:b/>
                <w:bCs/>
              </w:rPr>
              <w:t>Zarzut nr 3.70. Nieprawidłowa transpozycja pkt 3 załącznika III do dyrektywy 2010/75/UE</w:t>
            </w:r>
            <w:r w:rsidRPr="009F00FC">
              <w:rPr>
                <w:rFonts w:ascii="Times New Roman" w:hAnsi="Times New Roman"/>
              </w:rPr>
              <w:t xml:space="preserve"> –W </w:t>
            </w:r>
            <w:r w:rsidR="00892202" w:rsidRPr="009F00FC">
              <w:rPr>
                <w:rFonts w:ascii="Times New Roman" w:hAnsi="Times New Roman"/>
              </w:rPr>
              <w:t>art. 143 ust. 4 pkt 4 Poś</w:t>
            </w:r>
            <w:r w:rsidRPr="009F00FC">
              <w:rPr>
                <w:rFonts w:ascii="Times New Roman" w:hAnsi="Times New Roman"/>
              </w:rPr>
              <w:t xml:space="preserve"> brakuje jednak odniesienia do sformułowania dotyczącego zwiększania odzysku i recyklingu „substancji wytwarzanych i wykorzystywanych w procesie”.</w:t>
            </w:r>
            <w:r w:rsidR="00892202" w:rsidRPr="009F00FC">
              <w:rPr>
                <w:rFonts w:ascii="Times New Roman" w:hAnsi="Times New Roman"/>
              </w:rPr>
              <w:t xml:space="preserve"> Dokonana zostanie stosowna zmiana w przepisach Poś.</w:t>
            </w:r>
          </w:p>
          <w:p w14:paraId="0590A44D" w14:textId="1CDD6110" w:rsidR="00D83483" w:rsidRPr="009F00FC" w:rsidRDefault="00D83483" w:rsidP="002B13D9">
            <w:pPr>
              <w:pStyle w:val="Akapitzlist"/>
              <w:spacing w:before="120" w:after="120" w:line="240" w:lineRule="auto"/>
              <w:ind w:left="346" w:firstLine="14"/>
              <w:jc w:val="both"/>
              <w:rPr>
                <w:rFonts w:ascii="Times New Roman" w:hAnsi="Times New Roman"/>
                <w:b/>
                <w:bCs/>
              </w:rPr>
            </w:pPr>
            <w:r w:rsidRPr="009F00FC">
              <w:rPr>
                <w:rFonts w:ascii="Times New Roman" w:hAnsi="Times New Roman"/>
                <w:b/>
                <w:bCs/>
              </w:rPr>
              <w:t xml:space="preserve">Zarzut nr 3.71. Nieprawidłowa transpozycja pkt 4 załącznika III do dyrektywy 2010/75/UE </w:t>
            </w:r>
            <w:r w:rsidRPr="009F00FC">
              <w:rPr>
                <w:rFonts w:ascii="Times New Roman" w:hAnsi="Times New Roman"/>
              </w:rPr>
              <w:t>–</w:t>
            </w:r>
            <w:r w:rsidR="00892202" w:rsidRPr="009F00FC">
              <w:rPr>
                <w:rFonts w:ascii="Times New Roman" w:hAnsi="Times New Roman"/>
              </w:rPr>
              <w:t xml:space="preserve"> </w:t>
            </w:r>
            <w:r w:rsidRPr="009F00FC">
              <w:rPr>
                <w:rFonts w:ascii="Times New Roman" w:hAnsi="Times New Roman"/>
              </w:rPr>
              <w:t xml:space="preserve">W </w:t>
            </w:r>
            <w:r w:rsidR="00892202" w:rsidRPr="009F00FC">
              <w:rPr>
                <w:rFonts w:ascii="Times New Roman" w:hAnsi="Times New Roman"/>
              </w:rPr>
              <w:t xml:space="preserve">art. 143 pkt 6 Poś </w:t>
            </w:r>
            <w:r w:rsidRPr="009F00FC">
              <w:rPr>
                <w:rFonts w:ascii="Times New Roman" w:hAnsi="Times New Roman"/>
              </w:rPr>
              <w:t>brakuje odniesienia do sformułowania dotyczącego wykorzystania porównywalnych urządzeń jako jednego z wymogów ustalania technologii, która ma być stosowana</w:t>
            </w:r>
            <w:r w:rsidR="00892202" w:rsidRPr="009F00FC">
              <w:rPr>
                <w:rFonts w:ascii="Times New Roman" w:hAnsi="Times New Roman"/>
              </w:rPr>
              <w:t>. Dokonana zostanie stosowna zmiana w przepisach Poś.</w:t>
            </w:r>
          </w:p>
          <w:p w14:paraId="18FBD319" w14:textId="679F0358" w:rsidR="00D83483" w:rsidRPr="009F00FC" w:rsidRDefault="00D83483" w:rsidP="002B13D9">
            <w:pPr>
              <w:pStyle w:val="Akapitzlist"/>
              <w:spacing w:line="240" w:lineRule="auto"/>
              <w:ind w:left="346" w:firstLine="14"/>
              <w:contextualSpacing w:val="0"/>
              <w:jc w:val="both"/>
              <w:rPr>
                <w:rFonts w:ascii="Times New Roman" w:hAnsi="Times New Roman"/>
                <w:b/>
                <w:bCs/>
              </w:rPr>
            </w:pPr>
            <w:r w:rsidRPr="009F00FC">
              <w:rPr>
                <w:rFonts w:ascii="Times New Roman" w:hAnsi="Times New Roman"/>
                <w:b/>
                <w:bCs/>
              </w:rPr>
              <w:t>Zarzut nr 3.72. Nieprawidłowa transpozycja pkt 9 załącznika III do dyrektywy 2010/75/UE</w:t>
            </w:r>
            <w:r w:rsidRPr="009F00FC">
              <w:rPr>
                <w:rFonts w:ascii="Times New Roman" w:hAnsi="Times New Roman"/>
              </w:rPr>
              <w:t xml:space="preserve"> – W </w:t>
            </w:r>
            <w:r w:rsidR="00892202" w:rsidRPr="009F00FC">
              <w:rPr>
                <w:rFonts w:ascii="Times New Roman" w:hAnsi="Times New Roman"/>
              </w:rPr>
              <w:t xml:space="preserve">art. 143 ust. 2 i 3 Poś </w:t>
            </w:r>
            <w:r w:rsidRPr="009F00FC">
              <w:rPr>
                <w:rFonts w:ascii="Times New Roman" w:hAnsi="Times New Roman"/>
              </w:rPr>
              <w:t>brakuje odniesienia do sformułowania dotyczącego właściwości surowców.</w:t>
            </w:r>
            <w:r w:rsidR="00892202" w:rsidRPr="009F00FC">
              <w:rPr>
                <w:rFonts w:ascii="Times New Roman" w:hAnsi="Times New Roman"/>
              </w:rPr>
              <w:t xml:space="preserve"> Dokonana zostanie stosowna zmiana w przepisach Poś.</w:t>
            </w:r>
          </w:p>
          <w:p w14:paraId="5396C187" w14:textId="0FDE379B" w:rsidR="004A6237" w:rsidRPr="009F00FC" w:rsidRDefault="00D83483" w:rsidP="002B13D9">
            <w:pPr>
              <w:spacing w:after="120" w:line="240" w:lineRule="auto"/>
              <w:ind w:left="346" w:firstLine="14"/>
              <w:jc w:val="both"/>
              <w:rPr>
                <w:rFonts w:ascii="Times New Roman" w:hAnsi="Times New Roman"/>
              </w:rPr>
            </w:pPr>
            <w:r w:rsidRPr="009F00FC">
              <w:rPr>
                <w:rFonts w:ascii="Times New Roman" w:hAnsi="Times New Roman"/>
                <w:b/>
                <w:bCs/>
              </w:rPr>
              <w:t xml:space="preserve">Zarzut nr 3.73. Nieprawidłowa transpozycja pkt 5 załącznika IV do dyrektywy 2010/75/UE w związku z art. 6 ust. 3 konwencji z Aarhus </w:t>
            </w:r>
            <w:r w:rsidRPr="009F00FC">
              <w:rPr>
                <w:rFonts w:ascii="Times New Roman" w:hAnsi="Times New Roman"/>
              </w:rPr>
              <w:t>– w związku z określonymi rygorystycznymi ramami czasowymi przewidzianymi w prawie polskim odnoszącymi się do udziału społeczeństwa dokonane zostaną stosowne zmiany w przepisach polskich.</w:t>
            </w:r>
          </w:p>
        </w:tc>
      </w:tr>
      <w:tr w:rsidR="009F00FC" w:rsidRPr="009F00FC" w14:paraId="7F34513F" w14:textId="77777777" w:rsidTr="00515165">
        <w:trPr>
          <w:trHeight w:val="307"/>
        </w:trPr>
        <w:tc>
          <w:tcPr>
            <w:tcW w:w="10937" w:type="dxa"/>
            <w:gridSpan w:val="5"/>
            <w:shd w:val="clear" w:color="auto" w:fill="99CCFF"/>
            <w:vAlign w:val="center"/>
          </w:tcPr>
          <w:p w14:paraId="4F1BF935" w14:textId="7A834CF5" w:rsidR="00A96B6E" w:rsidRPr="009F00FC" w:rsidRDefault="00A96B6E" w:rsidP="00AF55DD">
            <w:pPr>
              <w:pStyle w:val="Akapitzlist"/>
              <w:numPr>
                <w:ilvl w:val="0"/>
                <w:numId w:val="1"/>
              </w:numPr>
              <w:spacing w:line="240" w:lineRule="auto"/>
              <w:jc w:val="both"/>
              <w:rPr>
                <w:rFonts w:ascii="Times New Roman" w:hAnsi="Times New Roman"/>
                <w:b/>
              </w:rPr>
            </w:pPr>
            <w:r w:rsidRPr="009F00FC">
              <w:rPr>
                <w:rFonts w:ascii="Times New Roman" w:hAnsi="Times New Roman"/>
                <w:b/>
                <w:spacing w:val="-2"/>
              </w:rPr>
              <w:lastRenderedPageBreak/>
              <w:t>Jak problem został rozwiązany w innych krajach, w szczególności krajach członkowskich OECD/UE</w:t>
            </w:r>
            <w:r w:rsidRPr="009F00FC">
              <w:rPr>
                <w:rFonts w:ascii="Times New Roman" w:hAnsi="Times New Roman"/>
                <w:b/>
              </w:rPr>
              <w:t>?</w:t>
            </w:r>
            <w:r w:rsidRPr="009F00FC">
              <w:rPr>
                <w:rFonts w:ascii="Times New Roman" w:hAnsi="Times New Roman"/>
                <w:i/>
              </w:rPr>
              <w:t xml:space="preserve"> </w:t>
            </w:r>
          </w:p>
        </w:tc>
      </w:tr>
      <w:tr w:rsidR="009F00FC" w:rsidRPr="009F00FC" w14:paraId="26537FEC" w14:textId="77777777" w:rsidTr="00515165">
        <w:trPr>
          <w:trHeight w:val="142"/>
        </w:trPr>
        <w:tc>
          <w:tcPr>
            <w:tcW w:w="10937" w:type="dxa"/>
            <w:gridSpan w:val="5"/>
          </w:tcPr>
          <w:p w14:paraId="3A76F74B" w14:textId="66AD4BB3" w:rsidR="008C68BE" w:rsidRPr="009F00FC" w:rsidRDefault="008C68BE" w:rsidP="002B13D9">
            <w:pPr>
              <w:spacing w:line="240" w:lineRule="auto"/>
              <w:jc w:val="both"/>
            </w:pPr>
            <w:r w:rsidRPr="009F00FC">
              <w:rPr>
                <w:rFonts w:ascii="Times New Roman" w:hAnsi="Times New Roman"/>
                <w:spacing w:val="-2"/>
              </w:rPr>
              <w:t xml:space="preserve">Przepisy dyrektywy 2024/1785 wymagają transpozycji do przepisów krajowych dlatego też w pozostałych krajach członkowskich UE także wprowadzone będą zmiany stosownych aktów prawnych. </w:t>
            </w:r>
          </w:p>
          <w:p w14:paraId="626DB8B2" w14:textId="44226F0C" w:rsidR="00E47E31" w:rsidRPr="00CC3E4A" w:rsidRDefault="0025142C" w:rsidP="007427BA">
            <w:pPr>
              <w:spacing w:before="120" w:after="120" w:line="240" w:lineRule="auto"/>
              <w:jc w:val="both"/>
              <w:rPr>
                <w:rFonts w:ascii="Times New Roman" w:hAnsi="Times New Roman"/>
                <w:spacing w:val="-2"/>
              </w:rPr>
            </w:pPr>
            <w:r w:rsidRPr="009F00FC">
              <w:rPr>
                <w:rFonts w:ascii="Times New Roman" w:hAnsi="Times New Roman"/>
                <w:spacing w:val="-2"/>
              </w:rPr>
              <w:t>W zakresie</w:t>
            </w:r>
            <w:r w:rsidR="008C68BE" w:rsidRPr="009F00FC">
              <w:rPr>
                <w:rFonts w:ascii="Times New Roman" w:hAnsi="Times New Roman"/>
                <w:spacing w:val="-2"/>
              </w:rPr>
              <w:t xml:space="preserve"> szczegółowych rozwiązań zidentyfikowano podejścia polegające na tworzeniu tzw. ogólnie wiążących zasad (general </w:t>
            </w:r>
            <w:r w:rsidRPr="009F00FC">
              <w:rPr>
                <w:rFonts w:ascii="Times New Roman" w:hAnsi="Times New Roman"/>
                <w:spacing w:val="-2"/>
              </w:rPr>
              <w:t>binding rules</w:t>
            </w:r>
            <w:r w:rsidR="008C68BE" w:rsidRPr="009F00FC">
              <w:rPr>
                <w:rFonts w:ascii="Times New Roman" w:hAnsi="Times New Roman"/>
                <w:spacing w:val="-2"/>
              </w:rPr>
              <w:t>)</w:t>
            </w:r>
            <w:r w:rsidRPr="009F00FC">
              <w:rPr>
                <w:rFonts w:ascii="Times New Roman" w:hAnsi="Times New Roman"/>
                <w:spacing w:val="-2"/>
              </w:rPr>
              <w:t xml:space="preserve"> </w:t>
            </w:r>
            <w:r w:rsidR="008C68BE" w:rsidRPr="009F00FC">
              <w:rPr>
                <w:rFonts w:ascii="Times New Roman" w:hAnsi="Times New Roman"/>
                <w:spacing w:val="-2"/>
              </w:rPr>
              <w:t xml:space="preserve">celem przeniesienia na poziom prawa krajowego całości lub części wynikających z konkluzji BAT. Podejście takie jest praktykowane np. w </w:t>
            </w:r>
            <w:r w:rsidRPr="009F00FC">
              <w:rPr>
                <w:rFonts w:ascii="Times New Roman" w:hAnsi="Times New Roman"/>
                <w:spacing w:val="-2"/>
              </w:rPr>
              <w:t>Niemczech</w:t>
            </w:r>
            <w:r w:rsidR="008C68BE" w:rsidRPr="009F00FC">
              <w:rPr>
                <w:rFonts w:ascii="Times New Roman" w:hAnsi="Times New Roman"/>
                <w:spacing w:val="-2"/>
              </w:rPr>
              <w:t>, Belgii, Holandii.</w:t>
            </w:r>
          </w:p>
        </w:tc>
      </w:tr>
      <w:tr w:rsidR="009F00FC" w:rsidRPr="009F00FC" w14:paraId="1FFA7866" w14:textId="77777777" w:rsidTr="00515165">
        <w:trPr>
          <w:trHeight w:val="359"/>
        </w:trPr>
        <w:tc>
          <w:tcPr>
            <w:tcW w:w="10937" w:type="dxa"/>
            <w:gridSpan w:val="5"/>
            <w:shd w:val="clear" w:color="auto" w:fill="99CCFF"/>
            <w:vAlign w:val="center"/>
          </w:tcPr>
          <w:p w14:paraId="6C5F52DA" w14:textId="77777777" w:rsidR="00A96B6E" w:rsidRPr="009F00FC" w:rsidRDefault="00A96B6E" w:rsidP="00AF55DD">
            <w:pPr>
              <w:numPr>
                <w:ilvl w:val="0"/>
                <w:numId w:val="1"/>
              </w:numPr>
              <w:spacing w:line="240" w:lineRule="auto"/>
              <w:ind w:left="318" w:hanging="284"/>
              <w:jc w:val="both"/>
              <w:rPr>
                <w:rFonts w:ascii="Times New Roman" w:hAnsi="Times New Roman"/>
                <w:b/>
              </w:rPr>
            </w:pPr>
            <w:bookmarkStart w:id="9" w:name="_Hlk129784885"/>
            <w:r w:rsidRPr="009F00FC">
              <w:rPr>
                <w:rFonts w:ascii="Times New Roman" w:hAnsi="Times New Roman"/>
                <w:b/>
              </w:rPr>
              <w:t>Podmioty, na które oddziałuje projekt</w:t>
            </w:r>
            <w:bookmarkEnd w:id="9"/>
          </w:p>
        </w:tc>
      </w:tr>
      <w:tr w:rsidR="009F00FC" w:rsidRPr="009F00FC" w14:paraId="6E60D80F" w14:textId="77777777" w:rsidTr="00515165">
        <w:trPr>
          <w:trHeight w:val="142"/>
        </w:trPr>
        <w:tc>
          <w:tcPr>
            <w:tcW w:w="2668" w:type="dxa"/>
          </w:tcPr>
          <w:p w14:paraId="66E996A0" w14:textId="77777777" w:rsidR="00A96B6E" w:rsidRPr="009F00FC" w:rsidRDefault="00A96B6E" w:rsidP="007A2509">
            <w:pPr>
              <w:spacing w:line="240" w:lineRule="auto"/>
              <w:jc w:val="both"/>
              <w:rPr>
                <w:rFonts w:ascii="Times New Roman" w:hAnsi="Times New Roman"/>
                <w:spacing w:val="-2"/>
              </w:rPr>
            </w:pPr>
            <w:r w:rsidRPr="009F00FC">
              <w:rPr>
                <w:rFonts w:ascii="Times New Roman" w:hAnsi="Times New Roman"/>
                <w:spacing w:val="-2"/>
              </w:rPr>
              <w:t>Grupa</w:t>
            </w:r>
          </w:p>
        </w:tc>
        <w:tc>
          <w:tcPr>
            <w:tcW w:w="2292" w:type="dxa"/>
          </w:tcPr>
          <w:p w14:paraId="2A447375" w14:textId="77777777" w:rsidR="00A96B6E" w:rsidRPr="009F00FC" w:rsidRDefault="00A96B6E" w:rsidP="007A2509">
            <w:pPr>
              <w:spacing w:line="240" w:lineRule="auto"/>
              <w:jc w:val="both"/>
              <w:rPr>
                <w:rFonts w:ascii="Times New Roman" w:hAnsi="Times New Roman"/>
                <w:spacing w:val="-2"/>
              </w:rPr>
            </w:pPr>
            <w:r w:rsidRPr="009F00FC">
              <w:rPr>
                <w:rFonts w:ascii="Times New Roman" w:hAnsi="Times New Roman"/>
                <w:spacing w:val="-2"/>
              </w:rPr>
              <w:t>Wielkość</w:t>
            </w:r>
          </w:p>
        </w:tc>
        <w:tc>
          <w:tcPr>
            <w:tcW w:w="2996" w:type="dxa"/>
            <w:gridSpan w:val="2"/>
          </w:tcPr>
          <w:p w14:paraId="1F0E2899" w14:textId="77777777" w:rsidR="00A96B6E" w:rsidRPr="009F00FC" w:rsidRDefault="00A96B6E" w:rsidP="007A2509">
            <w:pPr>
              <w:spacing w:line="240" w:lineRule="auto"/>
              <w:jc w:val="both"/>
              <w:rPr>
                <w:rFonts w:ascii="Times New Roman" w:hAnsi="Times New Roman"/>
                <w:spacing w:val="-2"/>
              </w:rPr>
            </w:pPr>
            <w:r w:rsidRPr="009F00FC">
              <w:rPr>
                <w:rFonts w:ascii="Times New Roman" w:hAnsi="Times New Roman"/>
                <w:spacing w:val="-2"/>
              </w:rPr>
              <w:t>Źródło danych</w:t>
            </w:r>
            <w:r w:rsidRPr="009F00FC" w:rsidDel="00260F33">
              <w:rPr>
                <w:rFonts w:ascii="Times New Roman" w:hAnsi="Times New Roman"/>
                <w:spacing w:val="-2"/>
              </w:rPr>
              <w:t xml:space="preserve"> </w:t>
            </w:r>
          </w:p>
        </w:tc>
        <w:tc>
          <w:tcPr>
            <w:tcW w:w="2981" w:type="dxa"/>
          </w:tcPr>
          <w:p w14:paraId="7D3827EE" w14:textId="77777777" w:rsidR="00A96B6E" w:rsidRPr="009F00FC" w:rsidRDefault="00A96B6E" w:rsidP="007A2509">
            <w:pPr>
              <w:spacing w:line="240" w:lineRule="auto"/>
              <w:jc w:val="both"/>
              <w:rPr>
                <w:rFonts w:ascii="Times New Roman" w:hAnsi="Times New Roman"/>
                <w:spacing w:val="-2"/>
              </w:rPr>
            </w:pPr>
            <w:r w:rsidRPr="009F00FC">
              <w:rPr>
                <w:rFonts w:ascii="Times New Roman" w:hAnsi="Times New Roman"/>
                <w:spacing w:val="-2"/>
              </w:rPr>
              <w:t>Oddziaływanie</w:t>
            </w:r>
          </w:p>
        </w:tc>
      </w:tr>
      <w:tr w:rsidR="009F00FC" w:rsidRPr="009F00FC" w14:paraId="1BCD37F4" w14:textId="77777777" w:rsidTr="00515165">
        <w:trPr>
          <w:trHeight w:val="142"/>
        </w:trPr>
        <w:tc>
          <w:tcPr>
            <w:tcW w:w="2668" w:type="dxa"/>
          </w:tcPr>
          <w:p w14:paraId="31EB32D9" w14:textId="44B605B8" w:rsidR="003E49EE" w:rsidRPr="009F00FC" w:rsidRDefault="00FE7DF4" w:rsidP="007A2509">
            <w:pPr>
              <w:spacing w:line="240" w:lineRule="auto"/>
              <w:jc w:val="both"/>
              <w:rPr>
                <w:rFonts w:ascii="Times New Roman" w:hAnsi="Times New Roman"/>
              </w:rPr>
            </w:pPr>
            <w:r w:rsidRPr="009F00FC">
              <w:rPr>
                <w:rFonts w:ascii="Times New Roman" w:hAnsi="Times New Roman"/>
              </w:rPr>
              <w:t>Urzędy Marszałkowskie</w:t>
            </w:r>
          </w:p>
        </w:tc>
        <w:tc>
          <w:tcPr>
            <w:tcW w:w="2292" w:type="dxa"/>
          </w:tcPr>
          <w:p w14:paraId="270A8680" w14:textId="16065031" w:rsidR="003E49EE" w:rsidRPr="009F00FC" w:rsidRDefault="00F454EE" w:rsidP="007A2509">
            <w:pPr>
              <w:spacing w:line="240" w:lineRule="auto"/>
              <w:jc w:val="both"/>
              <w:rPr>
                <w:rFonts w:ascii="Times New Roman" w:hAnsi="Times New Roman"/>
                <w:spacing w:val="-2"/>
              </w:rPr>
            </w:pPr>
            <w:r w:rsidRPr="009F00FC">
              <w:rPr>
                <w:rFonts w:ascii="Times New Roman" w:hAnsi="Times New Roman"/>
                <w:spacing w:val="-2"/>
              </w:rPr>
              <w:t>1</w:t>
            </w:r>
            <w:r w:rsidR="00FE7DF4" w:rsidRPr="009F00FC">
              <w:rPr>
                <w:rFonts w:ascii="Times New Roman" w:hAnsi="Times New Roman"/>
                <w:spacing w:val="-2"/>
              </w:rPr>
              <w:t>6</w:t>
            </w:r>
          </w:p>
        </w:tc>
        <w:tc>
          <w:tcPr>
            <w:tcW w:w="2996" w:type="dxa"/>
            <w:gridSpan w:val="2"/>
          </w:tcPr>
          <w:p w14:paraId="59D6A3E8" w14:textId="6D787C0A" w:rsidR="003E49EE" w:rsidRPr="009F00FC" w:rsidRDefault="00FE7DF4" w:rsidP="007A2509">
            <w:pPr>
              <w:spacing w:line="240" w:lineRule="auto"/>
              <w:jc w:val="both"/>
              <w:rPr>
                <w:rFonts w:ascii="Times New Roman" w:hAnsi="Times New Roman"/>
                <w:spacing w:val="-2"/>
                <w:lang w:val="en-US"/>
              </w:rPr>
            </w:pPr>
            <w:r w:rsidRPr="009F00FC">
              <w:rPr>
                <w:rFonts w:ascii="Times New Roman" w:hAnsi="Times New Roman"/>
                <w:spacing w:val="-2"/>
                <w:lang w:val="en-US"/>
              </w:rPr>
              <w:t>GUS</w:t>
            </w:r>
          </w:p>
        </w:tc>
        <w:tc>
          <w:tcPr>
            <w:tcW w:w="2981" w:type="dxa"/>
          </w:tcPr>
          <w:p w14:paraId="3F726A43" w14:textId="77777777" w:rsidR="00A345A1" w:rsidRPr="009F00FC" w:rsidRDefault="00FE7DF4">
            <w:pPr>
              <w:numPr>
                <w:ilvl w:val="0"/>
                <w:numId w:val="2"/>
              </w:numPr>
              <w:spacing w:line="240" w:lineRule="auto"/>
              <w:ind w:left="305" w:hanging="286"/>
              <w:rPr>
                <w:rFonts w:ascii="Times New Roman" w:hAnsi="Times New Roman"/>
              </w:rPr>
            </w:pPr>
            <w:r w:rsidRPr="009F00FC">
              <w:rPr>
                <w:rFonts w:ascii="Times New Roman" w:hAnsi="Times New Roman"/>
              </w:rPr>
              <w:t xml:space="preserve">Wydawanie pozwoleń zintegrowanych </w:t>
            </w:r>
          </w:p>
          <w:p w14:paraId="0832B16C" w14:textId="3D29643D" w:rsidR="00FE7DF4" w:rsidRPr="009F00FC" w:rsidDel="003E49EE" w:rsidRDefault="00FE7DF4">
            <w:pPr>
              <w:numPr>
                <w:ilvl w:val="0"/>
                <w:numId w:val="2"/>
              </w:numPr>
              <w:spacing w:line="240" w:lineRule="auto"/>
              <w:ind w:left="305" w:hanging="286"/>
              <w:rPr>
                <w:rFonts w:ascii="Times New Roman" w:hAnsi="Times New Roman"/>
              </w:rPr>
            </w:pPr>
            <w:r w:rsidRPr="009F00FC">
              <w:rPr>
                <w:rFonts w:ascii="Times New Roman" w:hAnsi="Times New Roman"/>
              </w:rPr>
              <w:t>Zmiana pozwoleń zintegrowanych</w:t>
            </w:r>
          </w:p>
        </w:tc>
      </w:tr>
      <w:tr w:rsidR="009F00FC" w:rsidRPr="009F00FC" w14:paraId="79662548" w14:textId="77777777" w:rsidTr="00515165">
        <w:trPr>
          <w:trHeight w:val="142"/>
        </w:trPr>
        <w:tc>
          <w:tcPr>
            <w:tcW w:w="2668" w:type="dxa"/>
          </w:tcPr>
          <w:p w14:paraId="1DD90F4C" w14:textId="5ED401BC" w:rsidR="00BF0D67" w:rsidRPr="009F00FC" w:rsidRDefault="00FE7DF4" w:rsidP="00BF0D67">
            <w:pPr>
              <w:spacing w:line="240" w:lineRule="auto"/>
              <w:rPr>
                <w:rFonts w:ascii="Times New Roman" w:hAnsi="Times New Roman"/>
              </w:rPr>
            </w:pPr>
            <w:bookmarkStart w:id="10" w:name="_Hlk157780735"/>
            <w:r w:rsidRPr="009F00FC">
              <w:rPr>
                <w:rFonts w:ascii="Times New Roman" w:hAnsi="Times New Roman"/>
                <w:lang w:eastAsia="pl-PL"/>
              </w:rPr>
              <w:t>Starostwa powiatowe</w:t>
            </w:r>
          </w:p>
        </w:tc>
        <w:tc>
          <w:tcPr>
            <w:tcW w:w="2292" w:type="dxa"/>
          </w:tcPr>
          <w:p w14:paraId="3676F616" w14:textId="553C5F30" w:rsidR="00BF0D67" w:rsidRPr="009F00FC" w:rsidRDefault="00FE7DF4" w:rsidP="00447363">
            <w:pPr>
              <w:spacing w:line="240" w:lineRule="auto"/>
              <w:rPr>
                <w:rFonts w:ascii="Times New Roman" w:hAnsi="Times New Roman"/>
                <w:spacing w:val="-2"/>
              </w:rPr>
            </w:pPr>
            <w:r w:rsidRPr="009F00FC">
              <w:rPr>
                <w:rFonts w:ascii="Times New Roman" w:hAnsi="Times New Roman"/>
                <w:lang w:eastAsia="pl-PL"/>
              </w:rPr>
              <w:t>380 (w tym 66 miast na prawach powiatu)</w:t>
            </w:r>
          </w:p>
        </w:tc>
        <w:tc>
          <w:tcPr>
            <w:tcW w:w="2996" w:type="dxa"/>
            <w:gridSpan w:val="2"/>
          </w:tcPr>
          <w:p w14:paraId="0CCB89FB" w14:textId="2BA561F4" w:rsidR="00BF0D67" w:rsidRPr="009F00FC" w:rsidRDefault="0042317D" w:rsidP="007A2509">
            <w:pPr>
              <w:spacing w:line="240" w:lineRule="auto"/>
              <w:jc w:val="both"/>
              <w:rPr>
                <w:rFonts w:ascii="Times New Roman" w:hAnsi="Times New Roman"/>
                <w:spacing w:val="-2"/>
              </w:rPr>
            </w:pPr>
            <w:r w:rsidRPr="009F00FC">
              <w:rPr>
                <w:rFonts w:ascii="Times New Roman" w:hAnsi="Times New Roman"/>
                <w:spacing w:val="-2"/>
              </w:rPr>
              <w:t>GUS</w:t>
            </w:r>
          </w:p>
        </w:tc>
        <w:tc>
          <w:tcPr>
            <w:tcW w:w="2981" w:type="dxa"/>
          </w:tcPr>
          <w:p w14:paraId="08B175D1" w14:textId="77777777" w:rsidR="00FE7DF4" w:rsidRPr="009F00FC" w:rsidRDefault="00FE7DF4">
            <w:pPr>
              <w:pStyle w:val="Akapitzlist"/>
              <w:numPr>
                <w:ilvl w:val="0"/>
                <w:numId w:val="7"/>
              </w:numPr>
              <w:spacing w:line="240" w:lineRule="auto"/>
              <w:rPr>
                <w:rFonts w:ascii="Times New Roman" w:hAnsi="Times New Roman"/>
                <w:bCs/>
              </w:rPr>
            </w:pPr>
            <w:r w:rsidRPr="009F00FC">
              <w:rPr>
                <w:rFonts w:ascii="Times New Roman" w:hAnsi="Times New Roman"/>
                <w:lang w:eastAsia="pl-PL"/>
              </w:rPr>
              <w:t>Wydawanie pozwoleń zintegrowanych</w:t>
            </w:r>
          </w:p>
          <w:p w14:paraId="712D7ECB" w14:textId="0DBB7768" w:rsidR="00BF0D67" w:rsidRPr="009F00FC" w:rsidRDefault="00FE7DF4">
            <w:pPr>
              <w:pStyle w:val="Akapitzlist"/>
              <w:numPr>
                <w:ilvl w:val="0"/>
                <w:numId w:val="7"/>
              </w:numPr>
              <w:spacing w:line="240" w:lineRule="auto"/>
              <w:rPr>
                <w:rFonts w:ascii="Times New Roman" w:hAnsi="Times New Roman"/>
                <w:bCs/>
              </w:rPr>
            </w:pPr>
            <w:r w:rsidRPr="009F00FC">
              <w:rPr>
                <w:rFonts w:ascii="Times New Roman" w:hAnsi="Times New Roman"/>
                <w:lang w:eastAsia="pl-PL"/>
              </w:rPr>
              <w:t>Zmiana pozwoleń zintegrowanych</w:t>
            </w:r>
          </w:p>
        </w:tc>
      </w:tr>
      <w:tr w:rsidR="008F47E6" w:rsidRPr="009F00FC" w14:paraId="7F730212" w14:textId="77777777" w:rsidTr="00515165">
        <w:trPr>
          <w:trHeight w:val="142"/>
        </w:trPr>
        <w:tc>
          <w:tcPr>
            <w:tcW w:w="2668" w:type="dxa"/>
          </w:tcPr>
          <w:p w14:paraId="107E1E5E" w14:textId="2325C7EC" w:rsidR="008F47E6" w:rsidRPr="009F00FC" w:rsidRDefault="008F47E6" w:rsidP="00BF0D67">
            <w:pPr>
              <w:spacing w:line="240" w:lineRule="auto"/>
              <w:rPr>
                <w:rFonts w:ascii="Times New Roman" w:hAnsi="Times New Roman"/>
                <w:lang w:eastAsia="pl-PL"/>
              </w:rPr>
            </w:pPr>
            <w:r>
              <w:rPr>
                <w:rFonts w:ascii="Times New Roman" w:hAnsi="Times New Roman"/>
                <w:lang w:eastAsia="pl-PL"/>
              </w:rPr>
              <w:t>Samorządowe kolegium odwoławcze</w:t>
            </w:r>
          </w:p>
        </w:tc>
        <w:tc>
          <w:tcPr>
            <w:tcW w:w="2292" w:type="dxa"/>
          </w:tcPr>
          <w:p w14:paraId="515FBE89" w14:textId="22F5CB48" w:rsidR="008F47E6" w:rsidRPr="009F00FC" w:rsidRDefault="008F47E6" w:rsidP="00BF0D67">
            <w:pPr>
              <w:spacing w:line="240" w:lineRule="auto"/>
              <w:jc w:val="both"/>
              <w:rPr>
                <w:rFonts w:ascii="Times New Roman" w:hAnsi="Times New Roman"/>
                <w:lang w:eastAsia="pl-PL"/>
              </w:rPr>
            </w:pPr>
            <w:r>
              <w:rPr>
                <w:rFonts w:ascii="Times New Roman" w:hAnsi="Times New Roman"/>
                <w:lang w:eastAsia="pl-PL"/>
              </w:rPr>
              <w:t>16</w:t>
            </w:r>
          </w:p>
        </w:tc>
        <w:tc>
          <w:tcPr>
            <w:tcW w:w="2996" w:type="dxa"/>
            <w:gridSpan w:val="2"/>
          </w:tcPr>
          <w:p w14:paraId="611D650F" w14:textId="34243F5A" w:rsidR="008F47E6" w:rsidRPr="009F00FC" w:rsidRDefault="008F47E6" w:rsidP="007A2509">
            <w:pPr>
              <w:spacing w:line="240" w:lineRule="auto"/>
              <w:jc w:val="both"/>
              <w:rPr>
                <w:rFonts w:ascii="Times New Roman" w:hAnsi="Times New Roman"/>
                <w:spacing w:val="-2"/>
              </w:rPr>
            </w:pPr>
            <w:r>
              <w:rPr>
                <w:rFonts w:ascii="Times New Roman" w:hAnsi="Times New Roman"/>
                <w:spacing w:val="-2"/>
              </w:rPr>
              <w:t>GUS</w:t>
            </w:r>
          </w:p>
        </w:tc>
        <w:tc>
          <w:tcPr>
            <w:tcW w:w="2981" w:type="dxa"/>
          </w:tcPr>
          <w:p w14:paraId="3FBAE1BE" w14:textId="42613DCA" w:rsidR="008F47E6" w:rsidRPr="009F00FC" w:rsidRDefault="008F47E6" w:rsidP="00A2619E">
            <w:pPr>
              <w:pStyle w:val="Akapitzlist"/>
              <w:spacing w:line="240" w:lineRule="auto"/>
              <w:ind w:left="360"/>
              <w:rPr>
                <w:rFonts w:ascii="Times New Roman" w:hAnsi="Times New Roman"/>
                <w:lang w:eastAsia="pl-PL"/>
              </w:rPr>
            </w:pPr>
            <w:r>
              <w:rPr>
                <w:rFonts w:ascii="Times New Roman" w:hAnsi="Times New Roman"/>
                <w:lang w:eastAsia="pl-PL"/>
              </w:rPr>
              <w:t>Organ odwoławczy od decyzji wydanych przez starostę</w:t>
            </w:r>
          </w:p>
        </w:tc>
      </w:tr>
      <w:bookmarkEnd w:id="10"/>
      <w:tr w:rsidR="009F00FC" w:rsidRPr="009F00FC" w14:paraId="38DC7AB9" w14:textId="77777777" w:rsidTr="00515165">
        <w:trPr>
          <w:trHeight w:val="142"/>
        </w:trPr>
        <w:tc>
          <w:tcPr>
            <w:tcW w:w="2668" w:type="dxa"/>
          </w:tcPr>
          <w:p w14:paraId="5EB13EF4" w14:textId="4E423D35" w:rsidR="00927CD9" w:rsidRPr="009F00FC" w:rsidRDefault="00C51705" w:rsidP="007A2509">
            <w:pPr>
              <w:spacing w:line="240" w:lineRule="auto"/>
              <w:rPr>
                <w:rFonts w:ascii="Times New Roman" w:hAnsi="Times New Roman"/>
              </w:rPr>
            </w:pPr>
            <w:r w:rsidRPr="009F00FC">
              <w:rPr>
                <w:rFonts w:ascii="Times New Roman" w:hAnsi="Times New Roman"/>
              </w:rPr>
              <w:t>Regionalni dyrektorzy ochrony środowiska</w:t>
            </w:r>
          </w:p>
        </w:tc>
        <w:tc>
          <w:tcPr>
            <w:tcW w:w="2292" w:type="dxa"/>
          </w:tcPr>
          <w:p w14:paraId="50C903F6" w14:textId="32DC72AA" w:rsidR="00927CD9" w:rsidRPr="009F00FC" w:rsidRDefault="00C51705" w:rsidP="007A2509">
            <w:pPr>
              <w:spacing w:line="240" w:lineRule="auto"/>
              <w:jc w:val="both"/>
              <w:rPr>
                <w:rFonts w:ascii="Times New Roman" w:hAnsi="Times New Roman"/>
                <w:spacing w:val="-2"/>
              </w:rPr>
            </w:pPr>
            <w:r w:rsidRPr="009F00FC">
              <w:rPr>
                <w:rFonts w:ascii="Times New Roman" w:hAnsi="Times New Roman"/>
                <w:spacing w:val="-2"/>
              </w:rPr>
              <w:t>16</w:t>
            </w:r>
          </w:p>
        </w:tc>
        <w:tc>
          <w:tcPr>
            <w:tcW w:w="2996" w:type="dxa"/>
            <w:gridSpan w:val="2"/>
          </w:tcPr>
          <w:p w14:paraId="4AA9CEBB" w14:textId="40748626" w:rsidR="00927CD9" w:rsidRPr="009F00FC" w:rsidRDefault="00C51705" w:rsidP="007A2509">
            <w:pPr>
              <w:spacing w:line="240" w:lineRule="auto"/>
              <w:jc w:val="both"/>
              <w:rPr>
                <w:rFonts w:ascii="Times New Roman" w:hAnsi="Times New Roman"/>
                <w:spacing w:val="-2"/>
              </w:rPr>
            </w:pPr>
            <w:r w:rsidRPr="009F00FC">
              <w:rPr>
                <w:rFonts w:ascii="Times New Roman" w:hAnsi="Times New Roman"/>
                <w:spacing w:val="-2"/>
              </w:rPr>
              <w:t>GUS</w:t>
            </w:r>
          </w:p>
        </w:tc>
        <w:tc>
          <w:tcPr>
            <w:tcW w:w="2981" w:type="dxa"/>
          </w:tcPr>
          <w:p w14:paraId="17D3395C" w14:textId="26F4DA9C" w:rsidR="00927CD9" w:rsidRPr="009F00FC" w:rsidRDefault="00C51705">
            <w:pPr>
              <w:pStyle w:val="Akapitzlist"/>
              <w:numPr>
                <w:ilvl w:val="0"/>
                <w:numId w:val="8"/>
              </w:numPr>
              <w:spacing w:line="240" w:lineRule="auto"/>
              <w:rPr>
                <w:rFonts w:ascii="Times New Roman" w:hAnsi="Times New Roman"/>
              </w:rPr>
            </w:pPr>
            <w:r w:rsidRPr="009F00FC">
              <w:rPr>
                <w:rFonts w:ascii="Times New Roman" w:hAnsi="Times New Roman"/>
                <w:bCs/>
              </w:rPr>
              <w:t xml:space="preserve">Wydawanie pozwoleń zintegrowanych </w:t>
            </w:r>
            <w:r w:rsidRPr="009F00FC">
              <w:rPr>
                <w:rFonts w:ascii="Times New Roman" w:hAnsi="Times New Roman"/>
              </w:rPr>
              <w:t>dla przedsięwzięć zlokalizowanych na terenach zamkniętych</w:t>
            </w:r>
            <w:r w:rsidR="00744C92">
              <w:rPr>
                <w:rFonts w:ascii="Times New Roman" w:hAnsi="Times New Roman"/>
              </w:rPr>
              <w:t xml:space="preserve"> </w:t>
            </w:r>
            <w:r w:rsidR="00744C92" w:rsidRPr="00744C92">
              <w:rPr>
                <w:rFonts w:ascii="Times New Roman" w:hAnsi="Times New Roman"/>
              </w:rPr>
              <w:t>ustalonych przez Ministra Obrony Narodowej</w:t>
            </w:r>
          </w:p>
          <w:p w14:paraId="6F6CB805" w14:textId="3D081647" w:rsidR="00C51705" w:rsidRPr="009F00FC" w:rsidRDefault="00C51705">
            <w:pPr>
              <w:pStyle w:val="Akapitzlist"/>
              <w:numPr>
                <w:ilvl w:val="0"/>
                <w:numId w:val="8"/>
              </w:numPr>
              <w:spacing w:line="240" w:lineRule="auto"/>
              <w:rPr>
                <w:rFonts w:ascii="Times New Roman" w:hAnsi="Times New Roman"/>
              </w:rPr>
            </w:pPr>
            <w:r w:rsidRPr="009F00FC">
              <w:rPr>
                <w:rFonts w:ascii="Times New Roman" w:hAnsi="Times New Roman"/>
              </w:rPr>
              <w:t>Zmiana pozwoleń zintegrowanych dla przedsięwzięć zlokalizowanych na terenach zamkniętych</w:t>
            </w:r>
            <w:r w:rsidR="00744C92">
              <w:rPr>
                <w:rFonts w:ascii="Times New Roman" w:hAnsi="Times New Roman"/>
              </w:rPr>
              <w:t xml:space="preserve"> </w:t>
            </w:r>
            <w:r w:rsidR="00744C92" w:rsidRPr="00744C92">
              <w:rPr>
                <w:rFonts w:ascii="Times New Roman" w:hAnsi="Times New Roman"/>
              </w:rPr>
              <w:t>ustalonych przez Ministra Obrony Narodowej</w:t>
            </w:r>
          </w:p>
        </w:tc>
      </w:tr>
      <w:tr w:rsidR="008F47E6" w:rsidRPr="009F00FC" w14:paraId="4D0BCACA" w14:textId="77777777" w:rsidTr="00515165">
        <w:trPr>
          <w:trHeight w:val="142"/>
        </w:trPr>
        <w:tc>
          <w:tcPr>
            <w:tcW w:w="2668" w:type="dxa"/>
          </w:tcPr>
          <w:p w14:paraId="1184BA3E" w14:textId="7BD8CA52" w:rsidR="008F47E6" w:rsidRPr="009F00FC" w:rsidRDefault="008F47E6" w:rsidP="002B13D9">
            <w:pPr>
              <w:spacing w:line="240" w:lineRule="auto"/>
              <w:rPr>
                <w:rFonts w:ascii="Times New Roman" w:hAnsi="Times New Roman"/>
              </w:rPr>
            </w:pPr>
            <w:r>
              <w:rPr>
                <w:rFonts w:ascii="Times New Roman" w:hAnsi="Times New Roman"/>
              </w:rPr>
              <w:t>Generalna Dyrekcja Ochrony Środowiska</w:t>
            </w:r>
          </w:p>
        </w:tc>
        <w:tc>
          <w:tcPr>
            <w:tcW w:w="2292" w:type="dxa"/>
          </w:tcPr>
          <w:p w14:paraId="2BE98FB3" w14:textId="2C6445A9" w:rsidR="008F47E6" w:rsidRPr="009F00FC" w:rsidRDefault="008F47E6" w:rsidP="007A2509">
            <w:pPr>
              <w:spacing w:line="240" w:lineRule="auto"/>
              <w:jc w:val="both"/>
              <w:rPr>
                <w:rFonts w:ascii="Times New Roman" w:hAnsi="Times New Roman"/>
                <w:spacing w:val="-2"/>
              </w:rPr>
            </w:pPr>
            <w:r>
              <w:rPr>
                <w:rFonts w:ascii="Times New Roman" w:hAnsi="Times New Roman"/>
                <w:spacing w:val="-2"/>
              </w:rPr>
              <w:t>1</w:t>
            </w:r>
          </w:p>
        </w:tc>
        <w:tc>
          <w:tcPr>
            <w:tcW w:w="2996" w:type="dxa"/>
            <w:gridSpan w:val="2"/>
          </w:tcPr>
          <w:p w14:paraId="3A3AA231" w14:textId="0E74DDB7" w:rsidR="008F47E6" w:rsidRPr="009F00FC" w:rsidRDefault="009528D0" w:rsidP="007A2509">
            <w:pPr>
              <w:spacing w:line="240" w:lineRule="auto"/>
              <w:jc w:val="both"/>
              <w:rPr>
                <w:rFonts w:ascii="Times New Roman" w:hAnsi="Times New Roman"/>
                <w:spacing w:val="-2"/>
              </w:rPr>
            </w:pPr>
            <w:r>
              <w:rPr>
                <w:rFonts w:ascii="Times New Roman" w:hAnsi="Times New Roman"/>
                <w:spacing w:val="-2"/>
              </w:rPr>
              <w:t>GUS</w:t>
            </w:r>
          </w:p>
        </w:tc>
        <w:tc>
          <w:tcPr>
            <w:tcW w:w="2981" w:type="dxa"/>
          </w:tcPr>
          <w:p w14:paraId="766CF54F" w14:textId="08564A8D" w:rsidR="008F47E6" w:rsidRPr="00A2619E" w:rsidRDefault="009528D0" w:rsidP="00A2619E">
            <w:pPr>
              <w:spacing w:line="240" w:lineRule="auto"/>
              <w:rPr>
                <w:rFonts w:ascii="Times New Roman" w:hAnsi="Times New Roman"/>
                <w:bCs/>
              </w:rPr>
            </w:pPr>
            <w:r w:rsidRPr="009528D0">
              <w:rPr>
                <w:rFonts w:ascii="Times New Roman" w:hAnsi="Times New Roman"/>
                <w:bCs/>
              </w:rPr>
              <w:t xml:space="preserve">Organ odwoławczy od decyzji wydanych przez </w:t>
            </w:r>
            <w:r>
              <w:rPr>
                <w:rFonts w:ascii="Times New Roman" w:hAnsi="Times New Roman"/>
                <w:bCs/>
              </w:rPr>
              <w:t>regionalnych dyrektorów ochrony środowiska</w:t>
            </w:r>
          </w:p>
        </w:tc>
      </w:tr>
      <w:tr w:rsidR="009F00FC" w:rsidRPr="009F00FC" w14:paraId="63A87EA3" w14:textId="77777777" w:rsidTr="00515165">
        <w:trPr>
          <w:trHeight w:val="142"/>
        </w:trPr>
        <w:tc>
          <w:tcPr>
            <w:tcW w:w="2668" w:type="dxa"/>
          </w:tcPr>
          <w:p w14:paraId="7D5CDC0D" w14:textId="27FBDFFB" w:rsidR="00927CD9" w:rsidRPr="009F00FC" w:rsidRDefault="00C51705" w:rsidP="002B13D9">
            <w:pPr>
              <w:spacing w:line="240" w:lineRule="auto"/>
              <w:rPr>
                <w:rFonts w:ascii="Times New Roman" w:hAnsi="Times New Roman"/>
                <w:spacing w:val="-2"/>
              </w:rPr>
            </w:pPr>
            <w:r w:rsidRPr="009F00FC">
              <w:rPr>
                <w:rFonts w:ascii="Times New Roman" w:hAnsi="Times New Roman"/>
              </w:rPr>
              <w:t xml:space="preserve">Inspekcja Ochrony Środowiska </w:t>
            </w:r>
            <w:r w:rsidR="00927CD9" w:rsidRPr="009F00FC">
              <w:rPr>
                <w:rFonts w:ascii="Times New Roman" w:hAnsi="Times New Roman"/>
              </w:rPr>
              <w:t xml:space="preserve"> </w:t>
            </w:r>
          </w:p>
        </w:tc>
        <w:tc>
          <w:tcPr>
            <w:tcW w:w="2292" w:type="dxa"/>
          </w:tcPr>
          <w:p w14:paraId="6E72DE8C" w14:textId="2387302F" w:rsidR="00927CD9" w:rsidRPr="009F00FC" w:rsidRDefault="00927CD9" w:rsidP="007A2509">
            <w:pPr>
              <w:spacing w:line="240" w:lineRule="auto"/>
              <w:jc w:val="both"/>
              <w:rPr>
                <w:rFonts w:ascii="Times New Roman" w:hAnsi="Times New Roman"/>
                <w:spacing w:val="-2"/>
              </w:rPr>
            </w:pPr>
            <w:r w:rsidRPr="009F00FC">
              <w:rPr>
                <w:rFonts w:ascii="Times New Roman" w:hAnsi="Times New Roman"/>
                <w:spacing w:val="-2"/>
              </w:rPr>
              <w:t>16</w:t>
            </w:r>
          </w:p>
        </w:tc>
        <w:tc>
          <w:tcPr>
            <w:tcW w:w="2996" w:type="dxa"/>
            <w:gridSpan w:val="2"/>
          </w:tcPr>
          <w:p w14:paraId="47D09C91" w14:textId="319579B5" w:rsidR="00927CD9" w:rsidRPr="009F00FC" w:rsidRDefault="00927CD9" w:rsidP="007A2509">
            <w:pPr>
              <w:spacing w:line="240" w:lineRule="auto"/>
              <w:jc w:val="both"/>
              <w:rPr>
                <w:rFonts w:ascii="Times New Roman" w:hAnsi="Times New Roman"/>
                <w:spacing w:val="-2"/>
              </w:rPr>
            </w:pPr>
          </w:p>
        </w:tc>
        <w:tc>
          <w:tcPr>
            <w:tcW w:w="2981" w:type="dxa"/>
          </w:tcPr>
          <w:p w14:paraId="61FDE0DE" w14:textId="704FCBD2" w:rsidR="00805216" w:rsidRPr="009F00FC" w:rsidRDefault="00C51705" w:rsidP="00C51705">
            <w:pPr>
              <w:spacing w:line="240" w:lineRule="auto"/>
              <w:rPr>
                <w:rFonts w:ascii="Times New Roman" w:hAnsi="Times New Roman"/>
                <w:spacing w:val="-2"/>
              </w:rPr>
            </w:pPr>
            <w:r w:rsidRPr="009F00FC">
              <w:rPr>
                <w:rFonts w:ascii="Times New Roman" w:hAnsi="Times New Roman"/>
              </w:rPr>
              <w:t>Prowadzenie kontroli instalacji</w:t>
            </w:r>
            <w:r w:rsidR="008F47E6">
              <w:rPr>
                <w:rFonts w:ascii="Times New Roman" w:hAnsi="Times New Roman"/>
              </w:rPr>
              <w:t xml:space="preserve">, </w:t>
            </w:r>
          </w:p>
        </w:tc>
      </w:tr>
      <w:tr w:rsidR="009528D0" w:rsidRPr="009F00FC" w14:paraId="53BCC0B3" w14:textId="77777777" w:rsidTr="00515165">
        <w:trPr>
          <w:trHeight w:val="142"/>
        </w:trPr>
        <w:tc>
          <w:tcPr>
            <w:tcW w:w="2668" w:type="dxa"/>
          </w:tcPr>
          <w:p w14:paraId="26FAAFF6" w14:textId="15C7283C" w:rsidR="009528D0" w:rsidRPr="009F00FC" w:rsidRDefault="009528D0" w:rsidP="002B13D9">
            <w:pPr>
              <w:spacing w:line="240" w:lineRule="auto"/>
              <w:rPr>
                <w:rFonts w:ascii="Times New Roman" w:hAnsi="Times New Roman"/>
              </w:rPr>
            </w:pPr>
            <w:r>
              <w:rPr>
                <w:rFonts w:ascii="Times New Roman" w:hAnsi="Times New Roman"/>
              </w:rPr>
              <w:lastRenderedPageBreak/>
              <w:t>Główny Inspektorat Ochrony Środowiska</w:t>
            </w:r>
          </w:p>
        </w:tc>
        <w:tc>
          <w:tcPr>
            <w:tcW w:w="2292" w:type="dxa"/>
          </w:tcPr>
          <w:p w14:paraId="7A3D3646" w14:textId="26DBE8D9" w:rsidR="009528D0" w:rsidRPr="009F00FC" w:rsidRDefault="009528D0" w:rsidP="007A2509">
            <w:pPr>
              <w:spacing w:line="240" w:lineRule="auto"/>
              <w:jc w:val="both"/>
              <w:rPr>
                <w:rFonts w:ascii="Times New Roman" w:hAnsi="Times New Roman"/>
                <w:spacing w:val="-2"/>
              </w:rPr>
            </w:pPr>
            <w:r>
              <w:rPr>
                <w:rFonts w:ascii="Times New Roman" w:hAnsi="Times New Roman"/>
                <w:spacing w:val="-2"/>
              </w:rPr>
              <w:t>1</w:t>
            </w:r>
          </w:p>
        </w:tc>
        <w:tc>
          <w:tcPr>
            <w:tcW w:w="2996" w:type="dxa"/>
            <w:gridSpan w:val="2"/>
          </w:tcPr>
          <w:p w14:paraId="19580754" w14:textId="77777777" w:rsidR="009528D0" w:rsidRPr="009F00FC" w:rsidRDefault="009528D0" w:rsidP="007A2509">
            <w:pPr>
              <w:spacing w:line="240" w:lineRule="auto"/>
              <w:jc w:val="both"/>
              <w:rPr>
                <w:rFonts w:ascii="Times New Roman" w:hAnsi="Times New Roman"/>
                <w:spacing w:val="-2"/>
              </w:rPr>
            </w:pPr>
          </w:p>
        </w:tc>
        <w:tc>
          <w:tcPr>
            <w:tcW w:w="2981" w:type="dxa"/>
          </w:tcPr>
          <w:p w14:paraId="611DEA92" w14:textId="476031B7" w:rsidR="009528D0" w:rsidRPr="009F00FC" w:rsidRDefault="009528D0" w:rsidP="00C51705">
            <w:pPr>
              <w:spacing w:line="240" w:lineRule="auto"/>
              <w:rPr>
                <w:rFonts w:ascii="Times New Roman" w:hAnsi="Times New Roman"/>
              </w:rPr>
            </w:pPr>
            <w:r>
              <w:rPr>
                <w:rFonts w:ascii="Times New Roman" w:hAnsi="Times New Roman"/>
              </w:rPr>
              <w:t>Organ odwoławczy i nadzór nad systemem kontroli</w:t>
            </w:r>
          </w:p>
        </w:tc>
      </w:tr>
      <w:tr w:rsidR="009F00FC" w:rsidRPr="009F00FC" w14:paraId="172772C4" w14:textId="77777777" w:rsidTr="00515165">
        <w:trPr>
          <w:trHeight w:val="142"/>
        </w:trPr>
        <w:tc>
          <w:tcPr>
            <w:tcW w:w="2668" w:type="dxa"/>
          </w:tcPr>
          <w:p w14:paraId="520F12D3" w14:textId="762D9CD5" w:rsidR="00927CD9" w:rsidRPr="009F00FC" w:rsidRDefault="00C51705" w:rsidP="007A2509">
            <w:pPr>
              <w:tabs>
                <w:tab w:val="left" w:pos="1560"/>
              </w:tabs>
              <w:spacing w:line="240" w:lineRule="auto"/>
              <w:rPr>
                <w:rFonts w:ascii="Times New Roman" w:hAnsi="Times New Roman"/>
              </w:rPr>
            </w:pPr>
            <w:r w:rsidRPr="009F00FC">
              <w:rPr>
                <w:rFonts w:ascii="Times New Roman" w:hAnsi="Times New Roman"/>
              </w:rPr>
              <w:t>Podmioty gospodarcze prowadzące instalacje, dla których wymagane jest uzyskanie pozwolenia zintegrowanego</w:t>
            </w:r>
          </w:p>
        </w:tc>
        <w:tc>
          <w:tcPr>
            <w:tcW w:w="2292" w:type="dxa"/>
          </w:tcPr>
          <w:p w14:paraId="0EE8FC73" w14:textId="5647D55A" w:rsidR="00927CD9" w:rsidRPr="009F00FC" w:rsidRDefault="00C60AF5" w:rsidP="00447363">
            <w:pPr>
              <w:spacing w:line="240" w:lineRule="auto"/>
              <w:rPr>
                <w:rFonts w:ascii="Times New Roman" w:hAnsi="Times New Roman"/>
                <w:spacing w:val="-2"/>
              </w:rPr>
            </w:pPr>
            <w:r w:rsidRPr="009F00FC">
              <w:rPr>
                <w:rFonts w:ascii="Times New Roman" w:hAnsi="Times New Roman"/>
                <w:spacing w:val="-2"/>
              </w:rPr>
              <w:t>39</w:t>
            </w:r>
            <w:r w:rsidR="00CB5C2E">
              <w:rPr>
                <w:rFonts w:ascii="Times New Roman" w:hAnsi="Times New Roman"/>
                <w:spacing w:val="-2"/>
              </w:rPr>
              <w:t>8</w:t>
            </w:r>
            <w:r w:rsidR="004511D2">
              <w:rPr>
                <w:rFonts w:ascii="Times New Roman" w:hAnsi="Times New Roman"/>
                <w:spacing w:val="-2"/>
              </w:rPr>
              <w:t>6</w:t>
            </w:r>
            <w:r w:rsidR="00C51705" w:rsidRPr="009F00FC">
              <w:rPr>
                <w:rFonts w:ascii="Times New Roman" w:hAnsi="Times New Roman"/>
                <w:spacing w:val="-2"/>
              </w:rPr>
              <w:t xml:space="preserve"> (dane z bazy + dane z GIOŚ na temat nowych instalacji)</w:t>
            </w:r>
          </w:p>
        </w:tc>
        <w:tc>
          <w:tcPr>
            <w:tcW w:w="2996" w:type="dxa"/>
            <w:gridSpan w:val="2"/>
          </w:tcPr>
          <w:p w14:paraId="1B298C7D" w14:textId="77777777" w:rsidR="00927CD9" w:rsidRPr="009F00FC" w:rsidRDefault="00927CD9" w:rsidP="007A2509">
            <w:pPr>
              <w:spacing w:line="240" w:lineRule="auto"/>
              <w:jc w:val="both"/>
              <w:rPr>
                <w:rFonts w:ascii="Times New Roman" w:hAnsi="Times New Roman"/>
                <w:spacing w:val="-2"/>
              </w:rPr>
            </w:pPr>
          </w:p>
        </w:tc>
        <w:tc>
          <w:tcPr>
            <w:tcW w:w="2981" w:type="dxa"/>
          </w:tcPr>
          <w:p w14:paraId="23FF608B" w14:textId="42CB02B5" w:rsidR="00927CD9" w:rsidRPr="009F00FC" w:rsidRDefault="00C51705" w:rsidP="007A2509">
            <w:pPr>
              <w:spacing w:line="240" w:lineRule="auto"/>
              <w:rPr>
                <w:rFonts w:ascii="Times New Roman" w:hAnsi="Times New Roman"/>
                <w:spacing w:val="-2"/>
              </w:rPr>
            </w:pPr>
            <w:r w:rsidRPr="009F00FC">
              <w:rPr>
                <w:rFonts w:ascii="Times New Roman" w:hAnsi="Times New Roman"/>
                <w:spacing w:val="-2"/>
              </w:rPr>
              <w:t>Dostosowanie się do wymagań wynikających ze zmiany przepisów prawa</w:t>
            </w:r>
            <w:r w:rsidR="0067446F">
              <w:rPr>
                <w:rFonts w:ascii="Times New Roman" w:hAnsi="Times New Roman"/>
                <w:spacing w:val="-2"/>
              </w:rPr>
              <w:t xml:space="preserve"> w tym kontrole weryfikatorów</w:t>
            </w:r>
          </w:p>
        </w:tc>
      </w:tr>
      <w:tr w:rsidR="009F00FC" w:rsidRPr="009F00FC" w14:paraId="43C0716D" w14:textId="77777777" w:rsidTr="00515165">
        <w:trPr>
          <w:trHeight w:val="142"/>
        </w:trPr>
        <w:tc>
          <w:tcPr>
            <w:tcW w:w="2668" w:type="dxa"/>
          </w:tcPr>
          <w:p w14:paraId="417F9258" w14:textId="77777777" w:rsidR="00020619" w:rsidRPr="009F00FC" w:rsidRDefault="00020619" w:rsidP="00723662">
            <w:pPr>
              <w:tabs>
                <w:tab w:val="left" w:pos="1560"/>
              </w:tabs>
              <w:spacing w:line="240" w:lineRule="auto"/>
              <w:rPr>
                <w:rFonts w:ascii="Times New Roman" w:hAnsi="Times New Roman"/>
                <w:lang w:eastAsia="pl-PL"/>
              </w:rPr>
            </w:pPr>
            <w:r w:rsidRPr="009F00FC">
              <w:rPr>
                <w:rFonts w:ascii="Times New Roman" w:hAnsi="Times New Roman"/>
                <w:lang w:eastAsia="pl-PL"/>
              </w:rPr>
              <w:t>Krajowy Ośr</w:t>
            </w:r>
            <w:r w:rsidR="00F50B09" w:rsidRPr="009F00FC">
              <w:rPr>
                <w:rFonts w:ascii="Times New Roman" w:hAnsi="Times New Roman"/>
                <w:lang w:eastAsia="pl-PL"/>
              </w:rPr>
              <w:t>o</w:t>
            </w:r>
            <w:r w:rsidRPr="009F00FC">
              <w:rPr>
                <w:rFonts w:ascii="Times New Roman" w:hAnsi="Times New Roman"/>
                <w:lang w:eastAsia="pl-PL"/>
              </w:rPr>
              <w:t xml:space="preserve">dek </w:t>
            </w:r>
            <w:r w:rsidR="00F50B09" w:rsidRPr="009F00FC">
              <w:rPr>
                <w:rFonts w:ascii="Times New Roman" w:hAnsi="Times New Roman"/>
                <w:lang w:eastAsia="pl-PL"/>
              </w:rPr>
              <w:t>Bilansowania</w:t>
            </w:r>
            <w:r w:rsidRPr="009F00FC">
              <w:rPr>
                <w:rFonts w:ascii="Times New Roman" w:hAnsi="Times New Roman"/>
                <w:lang w:eastAsia="pl-PL"/>
              </w:rPr>
              <w:t xml:space="preserve"> i Zarządzania Emisjami</w:t>
            </w:r>
          </w:p>
        </w:tc>
        <w:tc>
          <w:tcPr>
            <w:tcW w:w="2292" w:type="dxa"/>
          </w:tcPr>
          <w:p w14:paraId="561E239E" w14:textId="77777777" w:rsidR="00020619" w:rsidRPr="009F00FC" w:rsidRDefault="00020619" w:rsidP="00723662">
            <w:pPr>
              <w:spacing w:line="240" w:lineRule="auto"/>
              <w:jc w:val="both"/>
              <w:rPr>
                <w:rFonts w:ascii="Times New Roman" w:hAnsi="Times New Roman"/>
                <w:lang w:eastAsia="pl-PL"/>
              </w:rPr>
            </w:pPr>
            <w:r w:rsidRPr="009F00FC">
              <w:rPr>
                <w:rFonts w:ascii="Times New Roman" w:hAnsi="Times New Roman"/>
                <w:lang w:eastAsia="pl-PL"/>
              </w:rPr>
              <w:t>1</w:t>
            </w:r>
          </w:p>
        </w:tc>
        <w:tc>
          <w:tcPr>
            <w:tcW w:w="2996" w:type="dxa"/>
            <w:gridSpan w:val="2"/>
          </w:tcPr>
          <w:p w14:paraId="5D494295" w14:textId="77777777" w:rsidR="00020619" w:rsidRPr="009F00FC" w:rsidRDefault="00020619" w:rsidP="00723662">
            <w:pPr>
              <w:spacing w:line="240" w:lineRule="auto"/>
              <w:jc w:val="both"/>
              <w:rPr>
                <w:rFonts w:ascii="Times New Roman" w:hAnsi="Times New Roman"/>
              </w:rPr>
            </w:pPr>
          </w:p>
        </w:tc>
        <w:tc>
          <w:tcPr>
            <w:tcW w:w="2981" w:type="dxa"/>
          </w:tcPr>
          <w:p w14:paraId="5E8C3454" w14:textId="77777777" w:rsidR="00020619" w:rsidRPr="009F00FC" w:rsidRDefault="00020619" w:rsidP="00723662">
            <w:pPr>
              <w:spacing w:line="240" w:lineRule="auto"/>
              <w:rPr>
                <w:rFonts w:ascii="Times New Roman" w:hAnsi="Times New Roman"/>
                <w:lang w:eastAsia="pl-PL"/>
              </w:rPr>
            </w:pPr>
            <w:r w:rsidRPr="009F00FC">
              <w:rPr>
                <w:rFonts w:ascii="Times New Roman" w:hAnsi="Times New Roman"/>
                <w:lang w:eastAsia="pl-PL"/>
              </w:rPr>
              <w:t>Realizacja zadań ustawowych</w:t>
            </w:r>
          </w:p>
        </w:tc>
      </w:tr>
      <w:tr w:rsidR="009F00FC" w:rsidRPr="009F00FC" w14:paraId="003448F4" w14:textId="77777777" w:rsidTr="00515165">
        <w:trPr>
          <w:trHeight w:val="142"/>
        </w:trPr>
        <w:tc>
          <w:tcPr>
            <w:tcW w:w="2668" w:type="dxa"/>
          </w:tcPr>
          <w:p w14:paraId="48CC468D" w14:textId="68543C51" w:rsidR="00020619" w:rsidRPr="009F00FC" w:rsidRDefault="00020619" w:rsidP="00723662">
            <w:pPr>
              <w:tabs>
                <w:tab w:val="left" w:pos="1560"/>
              </w:tabs>
              <w:spacing w:line="240" w:lineRule="auto"/>
              <w:rPr>
                <w:rFonts w:ascii="Times New Roman" w:hAnsi="Times New Roman"/>
                <w:lang w:eastAsia="pl-PL"/>
              </w:rPr>
            </w:pPr>
            <w:r w:rsidRPr="009F00FC">
              <w:rPr>
                <w:rFonts w:ascii="Times New Roman" w:hAnsi="Times New Roman"/>
                <w:lang w:eastAsia="pl-PL"/>
              </w:rPr>
              <w:t xml:space="preserve">Minister Klimatu i Środowiska </w:t>
            </w:r>
          </w:p>
        </w:tc>
        <w:tc>
          <w:tcPr>
            <w:tcW w:w="2292" w:type="dxa"/>
          </w:tcPr>
          <w:p w14:paraId="5FBB74E6" w14:textId="77777777" w:rsidR="00020619" w:rsidRPr="009F00FC" w:rsidRDefault="00020619" w:rsidP="00447363">
            <w:pPr>
              <w:spacing w:line="240" w:lineRule="auto"/>
              <w:rPr>
                <w:rFonts w:ascii="Times New Roman" w:hAnsi="Times New Roman"/>
                <w:lang w:eastAsia="pl-PL"/>
              </w:rPr>
            </w:pPr>
            <w:r w:rsidRPr="009F00FC">
              <w:rPr>
                <w:rFonts w:ascii="Times New Roman" w:hAnsi="Times New Roman"/>
                <w:lang w:eastAsia="pl-PL"/>
              </w:rPr>
              <w:t>1</w:t>
            </w:r>
          </w:p>
        </w:tc>
        <w:tc>
          <w:tcPr>
            <w:tcW w:w="2996" w:type="dxa"/>
            <w:gridSpan w:val="2"/>
          </w:tcPr>
          <w:p w14:paraId="3580880D" w14:textId="77777777" w:rsidR="00020619" w:rsidRPr="009F00FC" w:rsidRDefault="00020619" w:rsidP="00447363">
            <w:pPr>
              <w:spacing w:line="240" w:lineRule="auto"/>
              <w:rPr>
                <w:rFonts w:ascii="Times New Roman" w:hAnsi="Times New Roman"/>
              </w:rPr>
            </w:pPr>
          </w:p>
        </w:tc>
        <w:tc>
          <w:tcPr>
            <w:tcW w:w="2981" w:type="dxa"/>
          </w:tcPr>
          <w:p w14:paraId="1EF0352A" w14:textId="3EC725DE" w:rsidR="00020619" w:rsidRPr="009F00FC" w:rsidRDefault="00020619" w:rsidP="00447363">
            <w:pPr>
              <w:spacing w:line="240" w:lineRule="auto"/>
              <w:rPr>
                <w:rFonts w:ascii="Times New Roman" w:hAnsi="Times New Roman"/>
                <w:lang w:eastAsia="pl-PL"/>
              </w:rPr>
            </w:pPr>
            <w:r w:rsidRPr="009F00FC">
              <w:rPr>
                <w:rFonts w:ascii="Times New Roman" w:hAnsi="Times New Roman"/>
                <w:lang w:eastAsia="pl-PL"/>
              </w:rPr>
              <w:t>Realizacja zadań ustawowych</w:t>
            </w:r>
            <w:r w:rsidR="008F47E6">
              <w:rPr>
                <w:rFonts w:ascii="Times New Roman" w:hAnsi="Times New Roman"/>
                <w:lang w:eastAsia="pl-PL"/>
              </w:rPr>
              <w:t>, organ odwoławczy od decyzji marszałka województwa</w:t>
            </w:r>
          </w:p>
        </w:tc>
      </w:tr>
      <w:tr w:rsidR="009F00FC" w:rsidRPr="009F00FC" w14:paraId="2911792A" w14:textId="77777777" w:rsidTr="00515165">
        <w:trPr>
          <w:trHeight w:val="142"/>
        </w:trPr>
        <w:tc>
          <w:tcPr>
            <w:tcW w:w="2668" w:type="dxa"/>
          </w:tcPr>
          <w:p w14:paraId="369F8F19" w14:textId="77777777" w:rsidR="00BF0D67" w:rsidRPr="009F00FC" w:rsidRDefault="00E304AE" w:rsidP="00723662">
            <w:pPr>
              <w:tabs>
                <w:tab w:val="left" w:pos="1560"/>
              </w:tabs>
              <w:spacing w:line="240" w:lineRule="auto"/>
              <w:rPr>
                <w:rFonts w:ascii="Times New Roman" w:hAnsi="Times New Roman"/>
                <w:lang w:eastAsia="pl-PL"/>
              </w:rPr>
            </w:pPr>
            <w:r w:rsidRPr="009F00FC">
              <w:rPr>
                <w:rFonts w:ascii="Times New Roman" w:hAnsi="Times New Roman"/>
                <w:lang w:eastAsia="pl-PL"/>
              </w:rPr>
              <w:t>Narodowy Fundusz Ochrony Środowiska i Gospodarki Wodnej</w:t>
            </w:r>
          </w:p>
        </w:tc>
        <w:tc>
          <w:tcPr>
            <w:tcW w:w="2292" w:type="dxa"/>
          </w:tcPr>
          <w:p w14:paraId="224174FF" w14:textId="77777777" w:rsidR="00BF0D67" w:rsidRPr="009F00FC" w:rsidRDefault="00E304AE" w:rsidP="00447363">
            <w:pPr>
              <w:spacing w:line="240" w:lineRule="auto"/>
              <w:rPr>
                <w:rFonts w:ascii="Times New Roman" w:hAnsi="Times New Roman"/>
                <w:lang w:eastAsia="pl-PL"/>
              </w:rPr>
            </w:pPr>
            <w:r w:rsidRPr="009F00FC">
              <w:rPr>
                <w:rFonts w:ascii="Times New Roman" w:hAnsi="Times New Roman"/>
                <w:lang w:eastAsia="pl-PL"/>
              </w:rPr>
              <w:t>1</w:t>
            </w:r>
          </w:p>
        </w:tc>
        <w:tc>
          <w:tcPr>
            <w:tcW w:w="2996" w:type="dxa"/>
            <w:gridSpan w:val="2"/>
          </w:tcPr>
          <w:p w14:paraId="443215FB" w14:textId="77777777" w:rsidR="00BF0D67" w:rsidRPr="009F00FC" w:rsidRDefault="00BF0D67" w:rsidP="00447363">
            <w:pPr>
              <w:spacing w:line="240" w:lineRule="auto"/>
              <w:rPr>
                <w:rFonts w:ascii="Times New Roman" w:hAnsi="Times New Roman"/>
              </w:rPr>
            </w:pPr>
          </w:p>
        </w:tc>
        <w:tc>
          <w:tcPr>
            <w:tcW w:w="2981" w:type="dxa"/>
          </w:tcPr>
          <w:p w14:paraId="508212A1" w14:textId="03C4397A" w:rsidR="00F8010B" w:rsidRPr="009F00FC" w:rsidRDefault="00C51705" w:rsidP="00447363">
            <w:pPr>
              <w:spacing w:line="240" w:lineRule="auto"/>
              <w:rPr>
                <w:rFonts w:ascii="Times New Roman" w:hAnsi="Times New Roman"/>
                <w:lang w:eastAsia="pl-PL"/>
              </w:rPr>
            </w:pPr>
            <w:r w:rsidRPr="009F00FC">
              <w:rPr>
                <w:rFonts w:ascii="Times New Roman" w:eastAsia="Times New Roman" w:hAnsi="Times New Roman"/>
              </w:rPr>
              <w:t>Prowadzenie rezerwy celowej</w:t>
            </w:r>
          </w:p>
        </w:tc>
      </w:tr>
      <w:tr w:rsidR="009F00FC" w:rsidRPr="009F00FC" w14:paraId="26439D37" w14:textId="77777777" w:rsidTr="00515165">
        <w:trPr>
          <w:trHeight w:val="142"/>
        </w:trPr>
        <w:tc>
          <w:tcPr>
            <w:tcW w:w="2668" w:type="dxa"/>
          </w:tcPr>
          <w:p w14:paraId="19187857" w14:textId="5D4FF439" w:rsidR="00892B7A" w:rsidRPr="009F00FC" w:rsidRDefault="00892B7A" w:rsidP="00E304AE">
            <w:pPr>
              <w:tabs>
                <w:tab w:val="left" w:pos="1560"/>
              </w:tabs>
              <w:spacing w:line="240" w:lineRule="auto"/>
              <w:rPr>
                <w:rFonts w:ascii="Times New Roman" w:hAnsi="Times New Roman"/>
                <w:lang w:eastAsia="pl-PL"/>
              </w:rPr>
            </w:pPr>
            <w:r w:rsidRPr="009F00FC">
              <w:rPr>
                <w:rFonts w:ascii="Times New Roman" w:hAnsi="Times New Roman"/>
                <w:lang w:eastAsia="pl-PL"/>
              </w:rPr>
              <w:t>Społeczeństwo</w:t>
            </w:r>
          </w:p>
        </w:tc>
        <w:tc>
          <w:tcPr>
            <w:tcW w:w="2292" w:type="dxa"/>
          </w:tcPr>
          <w:p w14:paraId="5ACD5528" w14:textId="36FDE4A8" w:rsidR="00892B7A" w:rsidRPr="009F00FC" w:rsidRDefault="00E8798E" w:rsidP="00447363">
            <w:pPr>
              <w:spacing w:line="240" w:lineRule="auto"/>
              <w:rPr>
                <w:rFonts w:ascii="Times New Roman" w:hAnsi="Times New Roman"/>
                <w:lang w:eastAsia="pl-PL"/>
              </w:rPr>
            </w:pPr>
            <w:r w:rsidRPr="009F00FC">
              <w:rPr>
                <w:rFonts w:ascii="Times New Roman" w:hAnsi="Times New Roman"/>
                <w:lang w:eastAsia="pl-PL"/>
              </w:rPr>
              <w:t>37 543 tys. (ludność Polski w</w:t>
            </w:r>
            <w:r w:rsidR="00C52693" w:rsidRPr="009F00FC">
              <w:rPr>
                <w:rFonts w:ascii="Times New Roman" w:hAnsi="Times New Roman"/>
                <w:lang w:eastAsia="pl-PL"/>
              </w:rPr>
              <w:t>g stanu na</w:t>
            </w:r>
            <w:r w:rsidRPr="009F00FC">
              <w:rPr>
                <w:rFonts w:ascii="Times New Roman" w:hAnsi="Times New Roman"/>
                <w:lang w:eastAsia="pl-PL"/>
              </w:rPr>
              <w:t xml:space="preserve"> sierpi</w:t>
            </w:r>
            <w:r w:rsidR="00C52693" w:rsidRPr="009F00FC">
              <w:rPr>
                <w:rFonts w:ascii="Times New Roman" w:hAnsi="Times New Roman"/>
                <w:lang w:eastAsia="pl-PL"/>
              </w:rPr>
              <w:t>eń</w:t>
            </w:r>
            <w:r w:rsidRPr="009F00FC">
              <w:rPr>
                <w:rFonts w:ascii="Times New Roman" w:hAnsi="Times New Roman"/>
                <w:lang w:eastAsia="pl-PL"/>
              </w:rPr>
              <w:t xml:space="preserve"> 2024 r.) z tego nie wszyscy są narażeni </w:t>
            </w:r>
          </w:p>
        </w:tc>
        <w:tc>
          <w:tcPr>
            <w:tcW w:w="2996" w:type="dxa"/>
            <w:gridSpan w:val="2"/>
          </w:tcPr>
          <w:p w14:paraId="1248B82D" w14:textId="080FE40C" w:rsidR="00892B7A" w:rsidRPr="009F00FC" w:rsidRDefault="00FD5C53" w:rsidP="00447363">
            <w:pPr>
              <w:spacing w:line="240" w:lineRule="auto"/>
              <w:rPr>
                <w:rFonts w:ascii="Times New Roman" w:hAnsi="Times New Roman"/>
              </w:rPr>
            </w:pPr>
            <w:r w:rsidRPr="009F00FC">
              <w:rPr>
                <w:rFonts w:ascii="Times New Roman" w:hAnsi="Times New Roman"/>
              </w:rPr>
              <w:t>GUS</w:t>
            </w:r>
          </w:p>
        </w:tc>
        <w:tc>
          <w:tcPr>
            <w:tcW w:w="2981" w:type="dxa"/>
          </w:tcPr>
          <w:p w14:paraId="0ACE4542" w14:textId="288308DE" w:rsidR="00892B7A" w:rsidRPr="009F00FC" w:rsidRDefault="00E8798E" w:rsidP="00447363">
            <w:pPr>
              <w:spacing w:line="240" w:lineRule="auto"/>
              <w:rPr>
                <w:rFonts w:ascii="Times New Roman" w:hAnsi="Times New Roman"/>
              </w:rPr>
            </w:pPr>
            <w:r w:rsidRPr="009F00FC">
              <w:rPr>
                <w:rFonts w:ascii="Times New Roman" w:hAnsi="Times New Roman"/>
              </w:rPr>
              <w:t xml:space="preserve">Możliwość uzyskania rekompensaty w przypadku wystąpienia szkód dla zdrowia </w:t>
            </w:r>
          </w:p>
        </w:tc>
      </w:tr>
      <w:tr w:rsidR="0061305B" w:rsidRPr="009F00FC" w14:paraId="5FCF2353" w14:textId="77777777" w:rsidTr="00515165">
        <w:trPr>
          <w:trHeight w:val="142"/>
        </w:trPr>
        <w:tc>
          <w:tcPr>
            <w:tcW w:w="2668" w:type="dxa"/>
          </w:tcPr>
          <w:p w14:paraId="46F18562" w14:textId="6D9DE5FA" w:rsidR="0061305B" w:rsidRPr="00FD5DD1" w:rsidRDefault="0061305B" w:rsidP="00E304AE">
            <w:pPr>
              <w:tabs>
                <w:tab w:val="left" w:pos="1560"/>
              </w:tabs>
              <w:spacing w:line="240" w:lineRule="auto"/>
              <w:rPr>
                <w:rFonts w:ascii="Times New Roman" w:hAnsi="Times New Roman"/>
                <w:lang w:eastAsia="pl-PL"/>
              </w:rPr>
            </w:pPr>
            <w:r w:rsidRPr="00570B95">
              <w:rPr>
                <w:rFonts w:ascii="Times New Roman" w:hAnsi="Times New Roman"/>
              </w:rPr>
              <w:t>Jednostki certyfikujące ISO 14001, ISO 50</w:t>
            </w:r>
            <w:r w:rsidR="0067446F" w:rsidRPr="00570B95">
              <w:rPr>
                <w:rFonts w:ascii="Times New Roman" w:hAnsi="Times New Roman"/>
              </w:rPr>
              <w:t>0</w:t>
            </w:r>
            <w:r w:rsidRPr="00570B95">
              <w:rPr>
                <w:rFonts w:ascii="Times New Roman" w:hAnsi="Times New Roman"/>
              </w:rPr>
              <w:t xml:space="preserve">01, EMAS </w:t>
            </w:r>
            <w:r w:rsidR="00C66478">
              <w:rPr>
                <w:rFonts w:ascii="Times New Roman" w:hAnsi="Times New Roman"/>
              </w:rPr>
              <w:t>oraz</w:t>
            </w:r>
            <w:r w:rsidRPr="00570B95">
              <w:rPr>
                <w:rFonts w:ascii="Times New Roman" w:hAnsi="Times New Roman"/>
              </w:rPr>
              <w:t xml:space="preserve"> weryfikatorzy CO2</w:t>
            </w:r>
          </w:p>
        </w:tc>
        <w:tc>
          <w:tcPr>
            <w:tcW w:w="2292" w:type="dxa"/>
          </w:tcPr>
          <w:p w14:paraId="3A96D2E0" w14:textId="75665A66" w:rsidR="0061305B" w:rsidRPr="009F00FC" w:rsidRDefault="0067446F" w:rsidP="00447363">
            <w:pPr>
              <w:spacing w:line="240" w:lineRule="auto"/>
              <w:rPr>
                <w:rFonts w:ascii="Times New Roman" w:hAnsi="Times New Roman"/>
                <w:lang w:eastAsia="pl-PL"/>
              </w:rPr>
            </w:pPr>
            <w:r>
              <w:rPr>
                <w:rFonts w:ascii="Times New Roman" w:hAnsi="Times New Roman"/>
                <w:lang w:eastAsia="pl-PL"/>
              </w:rPr>
              <w:t>38 jednostek (ISO 14001, ISO 50001, ISO 9001) 9 (weryfikatorzy)</w:t>
            </w:r>
          </w:p>
        </w:tc>
        <w:tc>
          <w:tcPr>
            <w:tcW w:w="2996" w:type="dxa"/>
            <w:gridSpan w:val="2"/>
          </w:tcPr>
          <w:p w14:paraId="47249FC9" w14:textId="4578E87D" w:rsidR="0061305B" w:rsidRPr="009F00FC" w:rsidRDefault="0067446F" w:rsidP="00447363">
            <w:pPr>
              <w:spacing w:line="240" w:lineRule="auto"/>
              <w:rPr>
                <w:rFonts w:ascii="Times New Roman" w:hAnsi="Times New Roman"/>
              </w:rPr>
            </w:pPr>
            <w:r>
              <w:rPr>
                <w:rFonts w:ascii="Times New Roman" w:hAnsi="Times New Roman"/>
              </w:rPr>
              <w:t>www.pca.gov.pl</w:t>
            </w:r>
          </w:p>
        </w:tc>
        <w:tc>
          <w:tcPr>
            <w:tcW w:w="2981" w:type="dxa"/>
          </w:tcPr>
          <w:p w14:paraId="6312B5A3" w14:textId="4FD09834" w:rsidR="0061305B" w:rsidRPr="009F00FC" w:rsidRDefault="0061305B" w:rsidP="00447363">
            <w:pPr>
              <w:spacing w:line="240" w:lineRule="auto"/>
              <w:rPr>
                <w:rFonts w:ascii="Times New Roman" w:hAnsi="Times New Roman"/>
              </w:rPr>
            </w:pPr>
            <w:r>
              <w:rPr>
                <w:rFonts w:ascii="Times New Roman" w:hAnsi="Times New Roman"/>
              </w:rPr>
              <w:t>Prowadzenie kontroli instalacji w zakresie systemów zarządzania środowiskowego</w:t>
            </w:r>
          </w:p>
        </w:tc>
      </w:tr>
      <w:tr w:rsidR="009F00FC" w:rsidRPr="009F00FC" w14:paraId="771E8743" w14:textId="77777777" w:rsidTr="00515165">
        <w:trPr>
          <w:trHeight w:val="302"/>
        </w:trPr>
        <w:tc>
          <w:tcPr>
            <w:tcW w:w="10937" w:type="dxa"/>
            <w:gridSpan w:val="5"/>
            <w:shd w:val="clear" w:color="auto" w:fill="99CCFF"/>
            <w:vAlign w:val="center"/>
          </w:tcPr>
          <w:p w14:paraId="0E192EA1" w14:textId="77777777" w:rsidR="00723662" w:rsidRPr="009F00FC" w:rsidRDefault="00723662" w:rsidP="00AF55DD">
            <w:pPr>
              <w:numPr>
                <w:ilvl w:val="0"/>
                <w:numId w:val="1"/>
              </w:numPr>
              <w:spacing w:line="240" w:lineRule="auto"/>
              <w:ind w:left="318" w:hanging="284"/>
              <w:jc w:val="both"/>
              <w:rPr>
                <w:rFonts w:ascii="Times New Roman" w:hAnsi="Times New Roman"/>
                <w:b/>
              </w:rPr>
            </w:pPr>
            <w:r w:rsidRPr="009F00FC">
              <w:rPr>
                <w:rFonts w:ascii="Times New Roman" w:hAnsi="Times New Roman"/>
                <w:b/>
              </w:rPr>
              <w:t>Informacje na temat zakresu, czasu trwania i podsumowanie wyników konsultacji</w:t>
            </w:r>
          </w:p>
        </w:tc>
      </w:tr>
      <w:tr w:rsidR="009F00FC" w:rsidRPr="009F00FC" w14:paraId="7E64E07B" w14:textId="77777777" w:rsidTr="00515165">
        <w:trPr>
          <w:trHeight w:val="342"/>
        </w:trPr>
        <w:tc>
          <w:tcPr>
            <w:tcW w:w="10937" w:type="dxa"/>
            <w:gridSpan w:val="5"/>
            <w:shd w:val="clear" w:color="auto" w:fill="FFFFFF"/>
          </w:tcPr>
          <w:p w14:paraId="52423930" w14:textId="5103BF15" w:rsidR="006C7345" w:rsidRPr="009F00FC" w:rsidRDefault="002D09FD" w:rsidP="007427BA">
            <w:pPr>
              <w:spacing w:before="120" w:after="120" w:line="240" w:lineRule="auto"/>
              <w:jc w:val="both"/>
              <w:rPr>
                <w:rFonts w:ascii="Times New Roman" w:hAnsi="Times New Roman"/>
                <w:spacing w:val="-2"/>
              </w:rPr>
            </w:pPr>
            <w:bookmarkStart w:id="11" w:name="_Hlk170972063"/>
            <w:bookmarkStart w:id="12" w:name="_Hlk182567073"/>
            <w:r w:rsidRPr="009F00FC">
              <w:rPr>
                <w:rFonts w:ascii="Times New Roman" w:hAnsi="Times New Roman"/>
                <w:spacing w:val="-2"/>
              </w:rPr>
              <w:t>Nie jest planowane przeprowadzenie</w:t>
            </w:r>
            <w:r w:rsidR="006C7345" w:rsidRPr="009F00FC">
              <w:rPr>
                <w:rFonts w:ascii="Times New Roman" w:hAnsi="Times New Roman"/>
                <w:spacing w:val="-2"/>
              </w:rPr>
              <w:t xml:space="preserve"> pre-konsultacji. </w:t>
            </w:r>
          </w:p>
          <w:p w14:paraId="5198C333" w14:textId="3177F384" w:rsidR="006C7345" w:rsidRPr="009F00FC" w:rsidRDefault="006C7345" w:rsidP="007427BA">
            <w:pPr>
              <w:spacing w:before="120" w:after="120" w:line="240" w:lineRule="auto"/>
              <w:jc w:val="both"/>
              <w:rPr>
                <w:rFonts w:ascii="Times New Roman" w:hAnsi="Times New Roman"/>
                <w:spacing w:val="-2"/>
              </w:rPr>
            </w:pPr>
            <w:r w:rsidRPr="009F00FC">
              <w:rPr>
                <w:rFonts w:ascii="Times New Roman" w:hAnsi="Times New Roman"/>
                <w:spacing w:val="-2"/>
              </w:rPr>
              <w:t>Projekt, zgodnie z art. 5 ustawy z dnia 7 lipca 2005 r. o działalności lobbingowej w procesie stanowienia prawa (</w:t>
            </w:r>
            <w:r w:rsidR="005D0D1D" w:rsidRPr="005D0D1D">
              <w:rPr>
                <w:rFonts w:ascii="Times New Roman" w:hAnsi="Times New Roman"/>
                <w:spacing w:val="-2"/>
              </w:rPr>
              <w:t>Dz. U. z 2025 r. poz. 677</w:t>
            </w:r>
            <w:r w:rsidRPr="009F00FC">
              <w:rPr>
                <w:rFonts w:ascii="Times New Roman" w:hAnsi="Times New Roman"/>
                <w:spacing w:val="-2"/>
              </w:rPr>
              <w:t>) i § 52 uchwały nr 190 Rady Ministrów z dnia 29 października 2013 r. – Regulamin pracy Rady Ministrów (M.P. z 202</w:t>
            </w:r>
            <w:r w:rsidR="00CE2D1E" w:rsidRPr="009F00FC">
              <w:rPr>
                <w:rFonts w:ascii="Times New Roman" w:hAnsi="Times New Roman"/>
                <w:spacing w:val="-2"/>
              </w:rPr>
              <w:t>4</w:t>
            </w:r>
            <w:r w:rsidRPr="009F00FC">
              <w:rPr>
                <w:rFonts w:ascii="Times New Roman" w:hAnsi="Times New Roman"/>
                <w:spacing w:val="-2"/>
              </w:rPr>
              <w:t xml:space="preserve"> r. poz. </w:t>
            </w:r>
            <w:r w:rsidR="00CE2D1E" w:rsidRPr="009F00FC">
              <w:rPr>
                <w:rFonts w:ascii="Times New Roman" w:hAnsi="Times New Roman"/>
                <w:spacing w:val="-2"/>
              </w:rPr>
              <w:t>806</w:t>
            </w:r>
            <w:r w:rsidRPr="009F00FC">
              <w:rPr>
                <w:rFonts w:ascii="Times New Roman" w:hAnsi="Times New Roman"/>
                <w:spacing w:val="-2"/>
              </w:rPr>
              <w:t>), zosta</w:t>
            </w:r>
            <w:r w:rsidR="002D09FD" w:rsidRPr="009F00FC">
              <w:rPr>
                <w:rFonts w:ascii="Times New Roman" w:hAnsi="Times New Roman"/>
                <w:spacing w:val="-2"/>
              </w:rPr>
              <w:t>nie</w:t>
            </w:r>
            <w:r w:rsidRPr="009F00FC">
              <w:rPr>
                <w:rFonts w:ascii="Times New Roman" w:hAnsi="Times New Roman"/>
                <w:spacing w:val="-2"/>
              </w:rPr>
              <w:t xml:space="preserve"> udostępniony w Biuletynie Informacji Publicznej, na stronie podmiotowej Rządowego Centrum Legislacji, w serwisie Rządowy Proces Legislacyjny. </w:t>
            </w:r>
          </w:p>
          <w:p w14:paraId="6C85506B" w14:textId="30BFEA70" w:rsidR="006C7345" w:rsidRPr="009F00FC" w:rsidRDefault="006C7345" w:rsidP="007427BA">
            <w:pPr>
              <w:spacing w:before="120" w:after="120" w:line="240" w:lineRule="auto"/>
              <w:jc w:val="both"/>
              <w:rPr>
                <w:rFonts w:ascii="Times New Roman" w:hAnsi="Times New Roman"/>
                <w:spacing w:val="-2"/>
              </w:rPr>
            </w:pPr>
            <w:r w:rsidRPr="009F00FC">
              <w:rPr>
                <w:rFonts w:ascii="Times New Roman" w:hAnsi="Times New Roman"/>
                <w:spacing w:val="-2"/>
              </w:rPr>
              <w:t>Projekt zosta</w:t>
            </w:r>
            <w:r w:rsidR="00CE2D1E" w:rsidRPr="009F00FC">
              <w:rPr>
                <w:rFonts w:ascii="Times New Roman" w:hAnsi="Times New Roman"/>
                <w:spacing w:val="-2"/>
              </w:rPr>
              <w:t>nie</w:t>
            </w:r>
            <w:r w:rsidRPr="009F00FC">
              <w:rPr>
                <w:rFonts w:ascii="Times New Roman" w:hAnsi="Times New Roman"/>
                <w:spacing w:val="-2"/>
              </w:rPr>
              <w:t xml:space="preserve"> przekazany do konsultacji (21 dni) do następujących podmiotów: </w:t>
            </w:r>
          </w:p>
          <w:p w14:paraId="0A46A90F" w14:textId="0CA0A841"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Polskie Stowarzyszenie Laboratoriów Emisyjnych;</w:t>
            </w:r>
          </w:p>
          <w:p w14:paraId="7903C533" w14:textId="71D82DA8"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Towarzystwo Gospodarcze Polskie Elektrownie;</w:t>
            </w:r>
          </w:p>
          <w:p w14:paraId="20B1343C" w14:textId="15117851"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 xml:space="preserve">Polskie Towarzystwo </w:t>
            </w:r>
            <w:r w:rsidR="00856C08" w:rsidRPr="009F00FC">
              <w:rPr>
                <w:rFonts w:ascii="Times New Roman" w:hAnsi="Times New Roman"/>
                <w:spacing w:val="-2"/>
              </w:rPr>
              <w:t>Energetyki Cieplnej</w:t>
            </w:r>
            <w:r w:rsidRPr="009F00FC">
              <w:rPr>
                <w:rFonts w:ascii="Times New Roman" w:hAnsi="Times New Roman"/>
                <w:spacing w:val="-2"/>
              </w:rPr>
              <w:t>;</w:t>
            </w:r>
          </w:p>
          <w:p w14:paraId="492D9B44" w14:textId="620AD678"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Izba Gospodarcza Ciepłownictwo Polskie;</w:t>
            </w:r>
          </w:p>
          <w:p w14:paraId="75AA65C1" w14:textId="6549111F"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Polska Izba Przemysłu Chemicznego;</w:t>
            </w:r>
          </w:p>
          <w:p w14:paraId="37FBFE86" w14:textId="77777777" w:rsidR="00856C08"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Instytut Metalurgii Żelaza;</w:t>
            </w:r>
          </w:p>
          <w:p w14:paraId="7C8A1EBA" w14:textId="5E9D7911" w:rsidR="00856C08" w:rsidRPr="009F00FC" w:rsidRDefault="00856C08"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Izba Energetyki Przemysłowej</w:t>
            </w:r>
            <w:r w:rsidR="005A77B9" w:rsidRPr="009F00FC">
              <w:rPr>
                <w:rFonts w:ascii="Times New Roman" w:hAnsi="Times New Roman"/>
                <w:spacing w:val="-2"/>
              </w:rPr>
              <w:t>;</w:t>
            </w:r>
          </w:p>
          <w:p w14:paraId="393AE644" w14:textId="59C9CA44"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Hutnicza Izba Przemysłowo-Handlowa;</w:t>
            </w:r>
          </w:p>
          <w:p w14:paraId="2AF542A1" w14:textId="2D160A87" w:rsidR="005A77B9" w:rsidRPr="009F00FC" w:rsidRDefault="005A77B9"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Izba Gospodarcza Metali Nieżelaznych i Recyklingu;</w:t>
            </w:r>
          </w:p>
          <w:p w14:paraId="7F2E810A" w14:textId="0C3D5E40" w:rsidR="005A77B9" w:rsidRPr="009F00FC" w:rsidRDefault="005A77B9"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Polska Izba Gospodarki Odpadami;</w:t>
            </w:r>
          </w:p>
          <w:p w14:paraId="4BFAF674" w14:textId="673FEE33" w:rsidR="005A77B9" w:rsidRPr="009F00FC" w:rsidRDefault="005A77B9"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Krajowa Izba Gospodarki Odpadami;</w:t>
            </w:r>
          </w:p>
          <w:p w14:paraId="23A0843D" w14:textId="0CD38DD8"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Stowarzyszenie Papierników Polskich;</w:t>
            </w:r>
          </w:p>
          <w:p w14:paraId="5FFDE137" w14:textId="503B8D0A"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Instytut Chemicznej Przeróbki Węgla;</w:t>
            </w:r>
          </w:p>
          <w:p w14:paraId="29B5D8A4" w14:textId="185C2814"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Instytut Metali Nieżelaznych;</w:t>
            </w:r>
          </w:p>
          <w:p w14:paraId="4044E75E" w14:textId="11188D42"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Stowarzyszenie Producentów Cementu;</w:t>
            </w:r>
          </w:p>
          <w:p w14:paraId="2E6CC82F" w14:textId="55E3DE45"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Związek Pracodawców „Polskie Szkło”;</w:t>
            </w:r>
          </w:p>
          <w:p w14:paraId="1E486E0C" w14:textId="456EB647"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Stowarzyszenie Producentów Energii z Odpadów;</w:t>
            </w:r>
          </w:p>
          <w:p w14:paraId="5BB273F6" w14:textId="5AAD2549"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Związek Pracodawców Zakładów Termicznego Przekształcania Odpadów;</w:t>
            </w:r>
          </w:p>
          <w:p w14:paraId="681787A5" w14:textId="7ADD2057"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Stowarzyszenie Producentów Płyt Drewnopochodnych;</w:t>
            </w:r>
          </w:p>
          <w:p w14:paraId="69BBB8A1" w14:textId="70983353" w:rsidR="006C7345" w:rsidRPr="009F00FC" w:rsidRDefault="006C7345"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Związek Producentów Cukru w Polsce</w:t>
            </w:r>
            <w:r w:rsidR="00CE2D1E" w:rsidRPr="009F00FC">
              <w:rPr>
                <w:rFonts w:ascii="Times New Roman" w:hAnsi="Times New Roman"/>
                <w:spacing w:val="-2"/>
              </w:rPr>
              <w:t>;</w:t>
            </w:r>
          </w:p>
          <w:p w14:paraId="1E114C73" w14:textId="77777777" w:rsidR="00CE2D1E" w:rsidRPr="009F00FC" w:rsidRDefault="00CE2D1E"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Krajowa Rada Drobiarstwa – Izba Gospodarcza;</w:t>
            </w:r>
          </w:p>
          <w:p w14:paraId="2F64BE12" w14:textId="14BF4187" w:rsidR="00CE2D1E" w:rsidRPr="009F00FC" w:rsidRDefault="00CE2D1E" w:rsidP="007427BA">
            <w:pPr>
              <w:pStyle w:val="Akapitzlist"/>
              <w:numPr>
                <w:ilvl w:val="0"/>
                <w:numId w:val="12"/>
              </w:numPr>
              <w:spacing w:before="120" w:after="120" w:line="240" w:lineRule="auto"/>
              <w:jc w:val="both"/>
              <w:rPr>
                <w:rFonts w:ascii="Times New Roman" w:hAnsi="Times New Roman"/>
                <w:lang w:eastAsia="pl-PL"/>
              </w:rPr>
            </w:pPr>
            <w:r w:rsidRPr="009F00FC">
              <w:rPr>
                <w:rFonts w:ascii="Times New Roman" w:hAnsi="Times New Roman"/>
                <w:lang w:eastAsia="pl-PL"/>
              </w:rPr>
              <w:t>Krajowy Związek Pracodawców – Producentów Trzody Chlewnej;</w:t>
            </w:r>
          </w:p>
          <w:p w14:paraId="6010BC08" w14:textId="4825B388" w:rsidR="005A77B9" w:rsidRPr="009F00FC" w:rsidRDefault="005A77B9" w:rsidP="007427BA">
            <w:pPr>
              <w:pStyle w:val="Akapitzlist"/>
              <w:numPr>
                <w:ilvl w:val="0"/>
                <w:numId w:val="12"/>
              </w:numPr>
              <w:spacing w:before="120" w:after="120" w:line="240" w:lineRule="auto"/>
              <w:jc w:val="both"/>
              <w:rPr>
                <w:rFonts w:ascii="Times New Roman" w:hAnsi="Times New Roman"/>
                <w:lang w:eastAsia="pl-PL"/>
              </w:rPr>
            </w:pPr>
            <w:r w:rsidRPr="009F00FC">
              <w:rPr>
                <w:rFonts w:ascii="Times New Roman" w:hAnsi="Times New Roman"/>
                <w:lang w:eastAsia="pl-PL"/>
              </w:rPr>
              <w:t>Stowarzyszenie Przemysłu Wapienniczego;</w:t>
            </w:r>
          </w:p>
          <w:p w14:paraId="2F82496F" w14:textId="042FB7BC" w:rsidR="00A9725F" w:rsidRPr="009F00FC" w:rsidRDefault="00A9725F"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Polska Izba Druku</w:t>
            </w:r>
            <w:r w:rsidR="005A77B9" w:rsidRPr="009F00FC">
              <w:rPr>
                <w:rFonts w:ascii="Times New Roman" w:hAnsi="Times New Roman"/>
                <w:spacing w:val="-2"/>
              </w:rPr>
              <w:t>;</w:t>
            </w:r>
          </w:p>
          <w:p w14:paraId="7B9CE428" w14:textId="77777777" w:rsidR="00014C83" w:rsidRDefault="00A9725F" w:rsidP="007427BA">
            <w:pPr>
              <w:pStyle w:val="Akapitzlist"/>
              <w:numPr>
                <w:ilvl w:val="0"/>
                <w:numId w:val="12"/>
              </w:numPr>
              <w:spacing w:before="120" w:after="120" w:line="240" w:lineRule="auto"/>
              <w:jc w:val="both"/>
              <w:rPr>
                <w:rFonts w:ascii="Times New Roman" w:hAnsi="Times New Roman"/>
                <w:spacing w:val="-2"/>
              </w:rPr>
            </w:pPr>
            <w:r w:rsidRPr="009F00FC">
              <w:rPr>
                <w:rFonts w:ascii="Times New Roman" w:hAnsi="Times New Roman"/>
                <w:spacing w:val="-2"/>
              </w:rPr>
              <w:t>Polska Izba Przemysłu Skórzanego</w:t>
            </w:r>
            <w:r w:rsidR="005A77B9" w:rsidRPr="009F00FC">
              <w:rPr>
                <w:rFonts w:ascii="Times New Roman" w:hAnsi="Times New Roman"/>
                <w:spacing w:val="-2"/>
              </w:rPr>
              <w:t>;</w:t>
            </w:r>
            <w:r w:rsidRPr="009F00FC">
              <w:rPr>
                <w:rFonts w:ascii="Times New Roman" w:hAnsi="Times New Roman"/>
                <w:spacing w:val="-2"/>
              </w:rPr>
              <w:t xml:space="preserve"> </w:t>
            </w:r>
          </w:p>
          <w:p w14:paraId="04C17740" w14:textId="1B09D279" w:rsidR="0005325C" w:rsidRPr="0005325C" w:rsidRDefault="0005325C" w:rsidP="0005325C">
            <w:pPr>
              <w:pStyle w:val="Akapitzlist"/>
              <w:numPr>
                <w:ilvl w:val="0"/>
                <w:numId w:val="12"/>
              </w:numPr>
              <w:spacing w:before="120" w:after="120"/>
              <w:jc w:val="both"/>
              <w:rPr>
                <w:rFonts w:ascii="Times New Roman" w:hAnsi="Times New Roman"/>
                <w:spacing w:val="-2"/>
              </w:rPr>
            </w:pPr>
            <w:r w:rsidRPr="0005325C">
              <w:rPr>
                <w:rFonts w:ascii="Times New Roman" w:hAnsi="Times New Roman"/>
                <w:spacing w:val="-2"/>
              </w:rPr>
              <w:t>Polska Unia Ceramiczna</w:t>
            </w:r>
            <w:r>
              <w:rPr>
                <w:rFonts w:ascii="Times New Roman" w:hAnsi="Times New Roman"/>
                <w:spacing w:val="-2"/>
              </w:rPr>
              <w:t>;</w:t>
            </w:r>
          </w:p>
          <w:p w14:paraId="2D02678D" w14:textId="62DC3B01" w:rsidR="0005325C" w:rsidRPr="0005325C" w:rsidRDefault="0005325C" w:rsidP="0005325C">
            <w:pPr>
              <w:pStyle w:val="Akapitzlist"/>
              <w:numPr>
                <w:ilvl w:val="0"/>
                <w:numId w:val="12"/>
              </w:numPr>
              <w:spacing w:before="120" w:after="120"/>
              <w:jc w:val="both"/>
              <w:rPr>
                <w:rFonts w:ascii="Times New Roman" w:hAnsi="Times New Roman"/>
                <w:spacing w:val="-2"/>
              </w:rPr>
            </w:pPr>
            <w:r w:rsidRPr="0005325C">
              <w:rPr>
                <w:rFonts w:ascii="Times New Roman" w:hAnsi="Times New Roman"/>
                <w:spacing w:val="-2"/>
              </w:rPr>
              <w:t>Związek Pracodawców Ceramiki Budowlanej</w:t>
            </w:r>
            <w:r>
              <w:rPr>
                <w:rFonts w:ascii="Times New Roman" w:hAnsi="Times New Roman"/>
                <w:spacing w:val="-2"/>
              </w:rPr>
              <w:t>;</w:t>
            </w:r>
          </w:p>
          <w:p w14:paraId="580CD08E" w14:textId="618244F6" w:rsidR="00014C83" w:rsidRPr="00014C83" w:rsidRDefault="00014C83" w:rsidP="007427BA">
            <w:pPr>
              <w:pStyle w:val="Akapitzlist"/>
              <w:numPr>
                <w:ilvl w:val="0"/>
                <w:numId w:val="12"/>
              </w:numPr>
              <w:spacing w:before="120" w:after="120" w:line="240" w:lineRule="auto"/>
              <w:jc w:val="both"/>
              <w:rPr>
                <w:rFonts w:ascii="Times New Roman" w:hAnsi="Times New Roman"/>
                <w:spacing w:val="-2"/>
              </w:rPr>
            </w:pPr>
            <w:r w:rsidRPr="00014C83">
              <w:rPr>
                <w:rFonts w:ascii="Times New Roman" w:hAnsi="Times New Roman"/>
                <w:spacing w:val="-2"/>
              </w:rPr>
              <w:lastRenderedPageBreak/>
              <w:t>marszałko</w:t>
            </w:r>
            <w:r>
              <w:rPr>
                <w:rFonts w:ascii="Times New Roman" w:hAnsi="Times New Roman"/>
                <w:spacing w:val="-2"/>
              </w:rPr>
              <w:t>wie</w:t>
            </w:r>
            <w:r w:rsidRPr="00014C83">
              <w:rPr>
                <w:rFonts w:ascii="Times New Roman" w:hAnsi="Times New Roman"/>
                <w:spacing w:val="-2"/>
              </w:rPr>
              <w:t xml:space="preserve"> województw;</w:t>
            </w:r>
          </w:p>
          <w:p w14:paraId="507C914E" w14:textId="41F1B325" w:rsidR="00CE2D1E" w:rsidRPr="009F00FC" w:rsidRDefault="00014C83" w:rsidP="007427BA">
            <w:pPr>
              <w:pStyle w:val="Akapitzlist"/>
              <w:numPr>
                <w:ilvl w:val="0"/>
                <w:numId w:val="12"/>
              </w:numPr>
              <w:spacing w:before="120" w:after="120" w:line="240" w:lineRule="auto"/>
              <w:jc w:val="both"/>
              <w:rPr>
                <w:rFonts w:ascii="Times New Roman" w:hAnsi="Times New Roman"/>
                <w:spacing w:val="-2"/>
              </w:rPr>
            </w:pPr>
            <w:r w:rsidRPr="00014C83">
              <w:rPr>
                <w:rFonts w:ascii="Times New Roman" w:hAnsi="Times New Roman"/>
                <w:spacing w:val="-2"/>
              </w:rPr>
              <w:t>starosto</w:t>
            </w:r>
            <w:r>
              <w:rPr>
                <w:rFonts w:ascii="Times New Roman" w:hAnsi="Times New Roman"/>
                <w:spacing w:val="-2"/>
              </w:rPr>
              <w:t>wie</w:t>
            </w:r>
            <w:r w:rsidRPr="00014C83">
              <w:rPr>
                <w:rFonts w:ascii="Times New Roman" w:hAnsi="Times New Roman"/>
                <w:spacing w:val="-2"/>
              </w:rPr>
              <w:t xml:space="preserve"> i prezyden</w:t>
            </w:r>
            <w:r>
              <w:rPr>
                <w:rFonts w:ascii="Times New Roman" w:hAnsi="Times New Roman"/>
                <w:spacing w:val="-2"/>
              </w:rPr>
              <w:t>ci</w:t>
            </w:r>
            <w:r w:rsidRPr="00014C83">
              <w:rPr>
                <w:rFonts w:ascii="Times New Roman" w:hAnsi="Times New Roman"/>
                <w:spacing w:val="-2"/>
              </w:rPr>
              <w:t xml:space="preserve"> miast na prawach powiatu</w:t>
            </w:r>
            <w:r>
              <w:rPr>
                <w:rFonts w:ascii="Times New Roman" w:hAnsi="Times New Roman"/>
                <w:spacing w:val="-2"/>
              </w:rPr>
              <w:t>.</w:t>
            </w:r>
          </w:p>
          <w:p w14:paraId="61A6E3B5" w14:textId="5CF2A157" w:rsidR="006C7345" w:rsidRPr="009F00FC" w:rsidRDefault="006C7345" w:rsidP="007427BA">
            <w:pPr>
              <w:spacing w:before="120" w:after="120" w:line="240" w:lineRule="auto"/>
              <w:jc w:val="both"/>
              <w:rPr>
                <w:rFonts w:ascii="Times New Roman" w:hAnsi="Times New Roman"/>
                <w:spacing w:val="-2"/>
              </w:rPr>
            </w:pPr>
            <w:r w:rsidRPr="009F00FC">
              <w:rPr>
                <w:rFonts w:ascii="Times New Roman" w:hAnsi="Times New Roman"/>
                <w:spacing w:val="-2"/>
              </w:rPr>
              <w:t>Projekt zosta</w:t>
            </w:r>
            <w:r w:rsidR="00CE2D1E" w:rsidRPr="009F00FC">
              <w:rPr>
                <w:rFonts w:ascii="Times New Roman" w:hAnsi="Times New Roman"/>
                <w:spacing w:val="-2"/>
              </w:rPr>
              <w:t>nie</w:t>
            </w:r>
            <w:r w:rsidRPr="009F00FC">
              <w:rPr>
                <w:rFonts w:ascii="Times New Roman" w:hAnsi="Times New Roman"/>
                <w:spacing w:val="-2"/>
              </w:rPr>
              <w:t xml:space="preserve"> przekazany do zaopiniowania (21 dni) następującym podmiotom:</w:t>
            </w:r>
          </w:p>
          <w:p w14:paraId="67B2E22B" w14:textId="40EC8DD8" w:rsidR="00014C83" w:rsidRPr="00014C83" w:rsidRDefault="00014C83" w:rsidP="007427BA">
            <w:pPr>
              <w:pStyle w:val="Akapitzlist"/>
              <w:numPr>
                <w:ilvl w:val="0"/>
                <w:numId w:val="23"/>
              </w:numPr>
              <w:spacing w:before="120" w:after="120" w:line="240" w:lineRule="auto"/>
              <w:ind w:left="346" w:hanging="346"/>
              <w:jc w:val="both"/>
              <w:rPr>
                <w:rFonts w:ascii="Times New Roman" w:hAnsi="Times New Roman"/>
                <w:spacing w:val="-2"/>
              </w:rPr>
            </w:pPr>
            <w:r w:rsidRPr="00014C83">
              <w:rPr>
                <w:rFonts w:ascii="Times New Roman" w:hAnsi="Times New Roman"/>
                <w:spacing w:val="-2"/>
              </w:rPr>
              <w:t>Instytutowi Ochrony Środowiska – Państwowemu Instytutowi Badawczemu;</w:t>
            </w:r>
          </w:p>
          <w:p w14:paraId="05534EE8" w14:textId="77777777" w:rsidR="00014C83" w:rsidRDefault="00014C83" w:rsidP="007427BA">
            <w:pPr>
              <w:pStyle w:val="Akapitzlist"/>
              <w:numPr>
                <w:ilvl w:val="0"/>
                <w:numId w:val="23"/>
              </w:numPr>
              <w:spacing w:before="120" w:after="120" w:line="240" w:lineRule="auto"/>
              <w:ind w:left="346" w:hanging="346"/>
              <w:jc w:val="both"/>
              <w:rPr>
                <w:rFonts w:ascii="Times New Roman" w:hAnsi="Times New Roman"/>
                <w:spacing w:val="-2"/>
              </w:rPr>
            </w:pPr>
            <w:r w:rsidRPr="00014C83">
              <w:rPr>
                <w:rFonts w:ascii="Times New Roman" w:hAnsi="Times New Roman"/>
                <w:spacing w:val="-2"/>
              </w:rPr>
              <w:t>Polskiemu Centrum Akredytacji;</w:t>
            </w:r>
          </w:p>
          <w:p w14:paraId="0CAA632A" w14:textId="77777777" w:rsidR="00014C83" w:rsidRDefault="00014C83" w:rsidP="007427BA">
            <w:pPr>
              <w:pStyle w:val="Akapitzlist"/>
              <w:numPr>
                <w:ilvl w:val="0"/>
                <w:numId w:val="23"/>
              </w:numPr>
              <w:spacing w:before="120" w:after="120" w:line="240" w:lineRule="auto"/>
              <w:ind w:left="346" w:hanging="346"/>
              <w:jc w:val="both"/>
              <w:rPr>
                <w:rFonts w:ascii="Times New Roman" w:hAnsi="Times New Roman"/>
                <w:spacing w:val="-2"/>
              </w:rPr>
            </w:pPr>
            <w:r w:rsidRPr="00014C83">
              <w:rPr>
                <w:rFonts w:ascii="Times New Roman" w:hAnsi="Times New Roman"/>
                <w:spacing w:val="-2"/>
              </w:rPr>
              <w:t>Polski</w:t>
            </w:r>
            <w:r>
              <w:rPr>
                <w:rFonts w:ascii="Times New Roman" w:hAnsi="Times New Roman"/>
                <w:spacing w:val="-2"/>
              </w:rPr>
              <w:t>emu</w:t>
            </w:r>
            <w:r w:rsidRPr="00014C83">
              <w:rPr>
                <w:rFonts w:ascii="Times New Roman" w:hAnsi="Times New Roman"/>
                <w:spacing w:val="-2"/>
              </w:rPr>
              <w:t xml:space="preserve"> Komitet</w:t>
            </w:r>
            <w:r>
              <w:rPr>
                <w:rFonts w:ascii="Times New Roman" w:hAnsi="Times New Roman"/>
                <w:spacing w:val="-2"/>
              </w:rPr>
              <w:t>owi</w:t>
            </w:r>
            <w:r w:rsidRPr="00014C83">
              <w:rPr>
                <w:rFonts w:ascii="Times New Roman" w:hAnsi="Times New Roman"/>
                <w:spacing w:val="-2"/>
              </w:rPr>
              <w:t xml:space="preserve"> Normalizacyjn</w:t>
            </w:r>
            <w:r>
              <w:rPr>
                <w:rFonts w:ascii="Times New Roman" w:hAnsi="Times New Roman"/>
                <w:spacing w:val="-2"/>
              </w:rPr>
              <w:t>emu</w:t>
            </w:r>
            <w:r w:rsidRPr="00014C83">
              <w:rPr>
                <w:rFonts w:ascii="Times New Roman" w:hAnsi="Times New Roman"/>
                <w:spacing w:val="-2"/>
              </w:rPr>
              <w:t>;</w:t>
            </w:r>
          </w:p>
          <w:p w14:paraId="2C4BF447" w14:textId="77777777" w:rsidR="00014C83" w:rsidRDefault="006C7345" w:rsidP="007427BA">
            <w:pPr>
              <w:pStyle w:val="Akapitzlist"/>
              <w:numPr>
                <w:ilvl w:val="0"/>
                <w:numId w:val="23"/>
              </w:numPr>
              <w:spacing w:before="120" w:after="120" w:line="240" w:lineRule="auto"/>
              <w:ind w:left="346" w:hanging="346"/>
              <w:jc w:val="both"/>
              <w:rPr>
                <w:rFonts w:ascii="Times New Roman" w:hAnsi="Times New Roman"/>
                <w:spacing w:val="-2"/>
              </w:rPr>
            </w:pPr>
            <w:r w:rsidRPr="00014C83">
              <w:rPr>
                <w:rFonts w:ascii="Times New Roman" w:hAnsi="Times New Roman"/>
                <w:spacing w:val="-2"/>
              </w:rPr>
              <w:t>regionalnym dyrektorom ochrony środowiska;</w:t>
            </w:r>
          </w:p>
          <w:p w14:paraId="107B26EB" w14:textId="77777777" w:rsidR="00014C83" w:rsidRDefault="00014C83" w:rsidP="007427BA">
            <w:pPr>
              <w:pStyle w:val="Akapitzlist"/>
              <w:numPr>
                <w:ilvl w:val="0"/>
                <w:numId w:val="23"/>
              </w:numPr>
              <w:spacing w:before="120" w:after="120" w:line="240" w:lineRule="auto"/>
              <w:ind w:left="346" w:hanging="346"/>
              <w:jc w:val="both"/>
              <w:rPr>
                <w:rFonts w:ascii="Times New Roman" w:hAnsi="Times New Roman"/>
                <w:spacing w:val="-2"/>
              </w:rPr>
            </w:pPr>
            <w:r>
              <w:rPr>
                <w:rFonts w:ascii="Times New Roman" w:hAnsi="Times New Roman"/>
                <w:spacing w:val="-2"/>
              </w:rPr>
              <w:t>w</w:t>
            </w:r>
            <w:r w:rsidR="006C7345" w:rsidRPr="00014C83">
              <w:rPr>
                <w:rFonts w:ascii="Times New Roman" w:hAnsi="Times New Roman"/>
                <w:spacing w:val="-2"/>
              </w:rPr>
              <w:t xml:space="preserve">ojewódzkim </w:t>
            </w:r>
            <w:r>
              <w:rPr>
                <w:rFonts w:ascii="Times New Roman" w:hAnsi="Times New Roman"/>
                <w:spacing w:val="-2"/>
              </w:rPr>
              <w:t>i</w:t>
            </w:r>
            <w:r w:rsidR="006C7345" w:rsidRPr="00014C83">
              <w:rPr>
                <w:rFonts w:ascii="Times New Roman" w:hAnsi="Times New Roman"/>
                <w:spacing w:val="-2"/>
              </w:rPr>
              <w:t>nspektor</w:t>
            </w:r>
            <w:r>
              <w:rPr>
                <w:rFonts w:ascii="Times New Roman" w:hAnsi="Times New Roman"/>
                <w:spacing w:val="-2"/>
              </w:rPr>
              <w:t>om</w:t>
            </w:r>
            <w:r w:rsidR="006C7345" w:rsidRPr="00014C83">
              <w:rPr>
                <w:rFonts w:ascii="Times New Roman" w:hAnsi="Times New Roman"/>
                <w:spacing w:val="-2"/>
              </w:rPr>
              <w:t xml:space="preserve"> </w:t>
            </w:r>
            <w:r>
              <w:rPr>
                <w:rFonts w:ascii="Times New Roman" w:hAnsi="Times New Roman"/>
                <w:spacing w:val="-2"/>
              </w:rPr>
              <w:t>o</w:t>
            </w:r>
            <w:r w:rsidR="006C7345" w:rsidRPr="00014C83">
              <w:rPr>
                <w:rFonts w:ascii="Times New Roman" w:hAnsi="Times New Roman"/>
                <w:spacing w:val="-2"/>
              </w:rPr>
              <w:t xml:space="preserve">chrony </w:t>
            </w:r>
            <w:r>
              <w:rPr>
                <w:rFonts w:ascii="Times New Roman" w:hAnsi="Times New Roman"/>
                <w:spacing w:val="-2"/>
              </w:rPr>
              <w:t>ś</w:t>
            </w:r>
            <w:r w:rsidR="006C7345" w:rsidRPr="00014C83">
              <w:rPr>
                <w:rFonts w:ascii="Times New Roman" w:hAnsi="Times New Roman"/>
                <w:spacing w:val="-2"/>
              </w:rPr>
              <w:t xml:space="preserve">rodowiska; </w:t>
            </w:r>
          </w:p>
          <w:p w14:paraId="3EEB9F2C" w14:textId="77777777" w:rsidR="00014C83" w:rsidRDefault="00014C83" w:rsidP="007427BA">
            <w:pPr>
              <w:pStyle w:val="Akapitzlist"/>
              <w:numPr>
                <w:ilvl w:val="0"/>
                <w:numId w:val="23"/>
              </w:numPr>
              <w:spacing w:before="120" w:after="120" w:line="240" w:lineRule="auto"/>
              <w:ind w:left="346" w:hanging="346"/>
              <w:jc w:val="both"/>
              <w:rPr>
                <w:rFonts w:ascii="Times New Roman" w:hAnsi="Times New Roman"/>
                <w:spacing w:val="-2"/>
              </w:rPr>
            </w:pPr>
            <w:r>
              <w:rPr>
                <w:rFonts w:ascii="Times New Roman" w:hAnsi="Times New Roman"/>
                <w:spacing w:val="-2"/>
              </w:rPr>
              <w:t>G</w:t>
            </w:r>
            <w:r w:rsidR="006C7345" w:rsidRPr="00014C83">
              <w:rPr>
                <w:rFonts w:ascii="Times New Roman" w:hAnsi="Times New Roman"/>
                <w:spacing w:val="-2"/>
              </w:rPr>
              <w:t>łównemu Inspektorowi Ochrony Środowiska;</w:t>
            </w:r>
          </w:p>
          <w:p w14:paraId="4C937884" w14:textId="77777777" w:rsidR="00014C83" w:rsidRDefault="00014C83" w:rsidP="007427BA">
            <w:pPr>
              <w:pStyle w:val="Akapitzlist"/>
              <w:numPr>
                <w:ilvl w:val="0"/>
                <w:numId w:val="23"/>
              </w:numPr>
              <w:spacing w:before="120" w:after="120" w:line="240" w:lineRule="auto"/>
              <w:ind w:left="346" w:hanging="346"/>
              <w:jc w:val="both"/>
              <w:rPr>
                <w:rFonts w:ascii="Times New Roman" w:hAnsi="Times New Roman"/>
                <w:spacing w:val="-2"/>
              </w:rPr>
            </w:pPr>
            <w:r>
              <w:rPr>
                <w:rFonts w:ascii="Times New Roman" w:hAnsi="Times New Roman"/>
                <w:spacing w:val="-2"/>
              </w:rPr>
              <w:t>G</w:t>
            </w:r>
            <w:r w:rsidR="006C7345" w:rsidRPr="00014C83">
              <w:rPr>
                <w:rFonts w:ascii="Times New Roman" w:hAnsi="Times New Roman"/>
                <w:spacing w:val="-2"/>
              </w:rPr>
              <w:t xml:space="preserve">eneralnemu Dyrektorowi Ochrony Środowiska; </w:t>
            </w:r>
          </w:p>
          <w:p w14:paraId="7BBC1074" w14:textId="67FF3F81" w:rsidR="006C7345" w:rsidRPr="00014C83" w:rsidRDefault="006C7345" w:rsidP="007427BA">
            <w:pPr>
              <w:pStyle w:val="Akapitzlist"/>
              <w:numPr>
                <w:ilvl w:val="0"/>
                <w:numId w:val="23"/>
              </w:numPr>
              <w:spacing w:before="120" w:after="120" w:line="240" w:lineRule="auto"/>
              <w:ind w:left="346" w:hanging="346"/>
              <w:jc w:val="both"/>
              <w:rPr>
                <w:rFonts w:ascii="Times New Roman" w:hAnsi="Times New Roman"/>
                <w:spacing w:val="-2"/>
              </w:rPr>
            </w:pPr>
            <w:r w:rsidRPr="00014C83">
              <w:rPr>
                <w:rFonts w:ascii="Times New Roman" w:hAnsi="Times New Roman"/>
                <w:spacing w:val="-2"/>
              </w:rPr>
              <w:t>Narodowe</w:t>
            </w:r>
            <w:r w:rsidR="00447363">
              <w:rPr>
                <w:rFonts w:ascii="Times New Roman" w:hAnsi="Times New Roman"/>
                <w:spacing w:val="-2"/>
              </w:rPr>
              <w:t>mu</w:t>
            </w:r>
            <w:r w:rsidRPr="00014C83">
              <w:rPr>
                <w:rFonts w:ascii="Times New Roman" w:hAnsi="Times New Roman"/>
                <w:spacing w:val="-2"/>
              </w:rPr>
              <w:t xml:space="preserve"> Fundusz</w:t>
            </w:r>
            <w:r w:rsidR="00447363">
              <w:rPr>
                <w:rFonts w:ascii="Times New Roman" w:hAnsi="Times New Roman"/>
                <w:spacing w:val="-2"/>
              </w:rPr>
              <w:t>owi</w:t>
            </w:r>
            <w:r w:rsidRPr="00014C83">
              <w:rPr>
                <w:rFonts w:ascii="Times New Roman" w:hAnsi="Times New Roman"/>
                <w:spacing w:val="-2"/>
              </w:rPr>
              <w:t xml:space="preserve"> Ochrony Środowiska i Gospodarki Wodnej.</w:t>
            </w:r>
          </w:p>
          <w:p w14:paraId="481D6F0C" w14:textId="77777777" w:rsidR="002B13D9" w:rsidRDefault="005B07B3" w:rsidP="007427BA">
            <w:pPr>
              <w:tabs>
                <w:tab w:val="left" w:pos="919"/>
                <w:tab w:val="left" w:pos="1061"/>
              </w:tabs>
              <w:spacing w:before="120" w:after="120" w:line="240" w:lineRule="auto"/>
              <w:jc w:val="both"/>
              <w:rPr>
                <w:rFonts w:ascii="Times New Roman" w:hAnsi="Times New Roman"/>
                <w:spacing w:val="-2"/>
              </w:rPr>
            </w:pPr>
            <w:r w:rsidRPr="005B07B3">
              <w:rPr>
                <w:rFonts w:ascii="Times New Roman" w:hAnsi="Times New Roman"/>
                <w:spacing w:val="-2"/>
              </w:rPr>
              <w:t>Projekt dotyczy spraw, o których mowa w art. 1 ustawy z dnia 24 lipca 2015 r. o Radzie Dialogu Społecznego</w:t>
            </w:r>
            <w:r>
              <w:rPr>
                <w:rFonts w:ascii="Times New Roman" w:hAnsi="Times New Roman"/>
                <w:spacing w:val="-2"/>
              </w:rPr>
              <w:t xml:space="preserve"> </w:t>
            </w:r>
            <w:r w:rsidRPr="005B07B3">
              <w:rPr>
                <w:rFonts w:ascii="Times New Roman" w:hAnsi="Times New Roman"/>
                <w:spacing w:val="-2"/>
              </w:rPr>
              <w:t>(Dz. U. z 2018</w:t>
            </w:r>
            <w:r w:rsidR="003731B2">
              <w:rPr>
                <w:rFonts w:ascii="Times New Roman" w:hAnsi="Times New Roman"/>
                <w:spacing w:val="-2"/>
              </w:rPr>
              <w:t> </w:t>
            </w:r>
            <w:r w:rsidRPr="005B07B3">
              <w:rPr>
                <w:rFonts w:ascii="Times New Roman" w:hAnsi="Times New Roman"/>
                <w:spacing w:val="-2"/>
              </w:rPr>
              <w:t>r. poz. 2232</w:t>
            </w:r>
            <w:r w:rsidR="00014C83">
              <w:rPr>
                <w:rFonts w:ascii="Times New Roman" w:hAnsi="Times New Roman"/>
                <w:spacing w:val="-2"/>
              </w:rPr>
              <w:t xml:space="preserve"> z późn. zm.</w:t>
            </w:r>
            <w:r w:rsidRPr="005B07B3">
              <w:rPr>
                <w:rFonts w:ascii="Times New Roman" w:hAnsi="Times New Roman"/>
                <w:spacing w:val="-2"/>
              </w:rPr>
              <w:t xml:space="preserve">) i innych instytucjach dialogu społecznego, wobec czego </w:t>
            </w:r>
            <w:r w:rsidR="003731B2">
              <w:rPr>
                <w:rFonts w:ascii="Times New Roman" w:hAnsi="Times New Roman"/>
                <w:spacing w:val="-2"/>
              </w:rPr>
              <w:t xml:space="preserve">zostanie skierowany do </w:t>
            </w:r>
            <w:r w:rsidRPr="005B07B3">
              <w:rPr>
                <w:rFonts w:ascii="Times New Roman" w:hAnsi="Times New Roman"/>
                <w:spacing w:val="-2"/>
              </w:rPr>
              <w:t>zaopiniowania</w:t>
            </w:r>
            <w:r w:rsidR="003731B2">
              <w:rPr>
                <w:rFonts w:ascii="Times New Roman" w:hAnsi="Times New Roman"/>
                <w:spacing w:val="-2"/>
              </w:rPr>
              <w:t xml:space="preserve"> (21 dni)</w:t>
            </w:r>
            <w:r w:rsidRPr="005B07B3">
              <w:rPr>
                <w:rFonts w:ascii="Times New Roman" w:hAnsi="Times New Roman"/>
                <w:spacing w:val="-2"/>
              </w:rPr>
              <w:t xml:space="preserve"> przez RDS.</w:t>
            </w:r>
          </w:p>
          <w:p w14:paraId="1BF10752" w14:textId="4B098AC4" w:rsidR="005B07B3" w:rsidRPr="005B07B3" w:rsidRDefault="005B07B3" w:rsidP="007427BA">
            <w:pPr>
              <w:tabs>
                <w:tab w:val="left" w:pos="919"/>
                <w:tab w:val="left" w:pos="1061"/>
              </w:tabs>
              <w:spacing w:before="120" w:after="120" w:line="240" w:lineRule="auto"/>
              <w:jc w:val="both"/>
              <w:rPr>
                <w:rFonts w:ascii="Times New Roman" w:hAnsi="Times New Roman"/>
                <w:spacing w:val="-2"/>
              </w:rPr>
            </w:pPr>
            <w:r w:rsidRPr="005B07B3">
              <w:rPr>
                <w:rFonts w:ascii="Times New Roman" w:hAnsi="Times New Roman"/>
                <w:spacing w:val="-2"/>
              </w:rPr>
              <w:t>Z uwagi na zakres projektu, który dotyczy zadań związków zawodowych, projekt podlega opiniowaniu przez reprezentatywne związki zawodowe. Projekt zostanie przekazany (21 dni</w:t>
            </w:r>
            <w:r w:rsidR="00014C83">
              <w:rPr>
                <w:rFonts w:ascii="Times New Roman" w:hAnsi="Times New Roman"/>
                <w:spacing w:val="-2"/>
              </w:rPr>
              <w:t>, z uwagi na zbliżający się termin transpozycji</w:t>
            </w:r>
            <w:r w:rsidRPr="005B07B3">
              <w:rPr>
                <w:rFonts w:ascii="Times New Roman" w:hAnsi="Times New Roman"/>
                <w:spacing w:val="-2"/>
              </w:rPr>
              <w:t>) do następujących reprezentatywnych związków zawodowych:</w:t>
            </w:r>
          </w:p>
          <w:p w14:paraId="08B291EF" w14:textId="77777777" w:rsidR="005B07B3" w:rsidRPr="005B07B3" w:rsidRDefault="005B07B3" w:rsidP="007427BA">
            <w:pPr>
              <w:numPr>
                <w:ilvl w:val="0"/>
                <w:numId w:val="24"/>
              </w:numPr>
              <w:tabs>
                <w:tab w:val="clear" w:pos="720"/>
                <w:tab w:val="left" w:pos="919"/>
                <w:tab w:val="left" w:pos="1061"/>
              </w:tabs>
              <w:spacing w:before="120" w:after="120" w:line="240" w:lineRule="auto"/>
              <w:ind w:left="346" w:hanging="346"/>
              <w:contextualSpacing/>
              <w:jc w:val="both"/>
              <w:rPr>
                <w:rFonts w:ascii="Times New Roman" w:hAnsi="Times New Roman"/>
                <w:spacing w:val="-2"/>
              </w:rPr>
            </w:pPr>
            <w:r w:rsidRPr="005B07B3">
              <w:rPr>
                <w:rFonts w:ascii="Times New Roman" w:hAnsi="Times New Roman"/>
                <w:spacing w:val="-2"/>
              </w:rPr>
              <w:t>„Niezależny Samorządny Związek Zawodowy” Solidarność,</w:t>
            </w:r>
          </w:p>
          <w:p w14:paraId="459539B1" w14:textId="77777777" w:rsidR="005B07B3" w:rsidRPr="005B07B3" w:rsidRDefault="005B07B3" w:rsidP="007427BA">
            <w:pPr>
              <w:numPr>
                <w:ilvl w:val="0"/>
                <w:numId w:val="24"/>
              </w:numPr>
              <w:tabs>
                <w:tab w:val="clear" w:pos="720"/>
                <w:tab w:val="left" w:pos="919"/>
                <w:tab w:val="left" w:pos="1061"/>
              </w:tabs>
              <w:spacing w:before="120" w:after="120" w:line="240" w:lineRule="auto"/>
              <w:ind w:left="346" w:hanging="346"/>
              <w:contextualSpacing/>
              <w:jc w:val="both"/>
              <w:rPr>
                <w:rFonts w:ascii="Times New Roman" w:hAnsi="Times New Roman"/>
                <w:spacing w:val="-2"/>
              </w:rPr>
            </w:pPr>
            <w:r w:rsidRPr="005B07B3">
              <w:rPr>
                <w:rFonts w:ascii="Times New Roman" w:hAnsi="Times New Roman"/>
                <w:spacing w:val="-2"/>
              </w:rPr>
              <w:t>Ogólnopolskie Porozumienie Związków Zawodowych,</w:t>
            </w:r>
          </w:p>
          <w:p w14:paraId="08D31A2A" w14:textId="77777777" w:rsidR="005B07B3" w:rsidRPr="005B07B3" w:rsidRDefault="005B07B3" w:rsidP="007427BA">
            <w:pPr>
              <w:numPr>
                <w:ilvl w:val="0"/>
                <w:numId w:val="24"/>
              </w:numPr>
              <w:tabs>
                <w:tab w:val="clear" w:pos="720"/>
                <w:tab w:val="left" w:pos="919"/>
                <w:tab w:val="left" w:pos="1061"/>
              </w:tabs>
              <w:spacing w:before="120" w:after="120" w:line="240" w:lineRule="auto"/>
              <w:ind w:left="346" w:hanging="346"/>
              <w:jc w:val="both"/>
              <w:rPr>
                <w:rFonts w:ascii="Times New Roman" w:hAnsi="Times New Roman"/>
                <w:spacing w:val="-2"/>
              </w:rPr>
            </w:pPr>
            <w:r w:rsidRPr="005B07B3">
              <w:rPr>
                <w:rFonts w:ascii="Times New Roman" w:hAnsi="Times New Roman"/>
                <w:spacing w:val="-2"/>
              </w:rPr>
              <w:t>Forum Związków Zawodowych.</w:t>
            </w:r>
          </w:p>
          <w:p w14:paraId="259F6F16" w14:textId="52BFF8F0" w:rsidR="005B07B3" w:rsidRPr="005B07B3" w:rsidRDefault="005B07B3" w:rsidP="007427BA">
            <w:pPr>
              <w:tabs>
                <w:tab w:val="left" w:pos="919"/>
                <w:tab w:val="left" w:pos="1061"/>
              </w:tabs>
              <w:spacing w:after="120" w:line="240" w:lineRule="auto"/>
              <w:jc w:val="both"/>
              <w:rPr>
                <w:rFonts w:ascii="Times New Roman" w:hAnsi="Times New Roman"/>
                <w:spacing w:val="-2"/>
              </w:rPr>
            </w:pPr>
            <w:r w:rsidRPr="005B07B3">
              <w:rPr>
                <w:rFonts w:ascii="Times New Roman" w:hAnsi="Times New Roman"/>
                <w:spacing w:val="-2"/>
              </w:rPr>
              <w:t>Z uwagi na zakres projektu, który dotyczy praw i interesów związków pracodawców, projekt podlega opiniowaniu przez reprezentatywne organizacje pracodawców. Projekt zostanie przekazany (21 dni</w:t>
            </w:r>
            <w:r w:rsidR="00014C83">
              <w:rPr>
                <w:rFonts w:ascii="Times New Roman" w:hAnsi="Times New Roman"/>
                <w:spacing w:val="-2"/>
              </w:rPr>
              <w:t>, z uwagi na zbliżający się termin transpozycji</w:t>
            </w:r>
            <w:r w:rsidRPr="005B07B3">
              <w:rPr>
                <w:rFonts w:ascii="Times New Roman" w:hAnsi="Times New Roman"/>
                <w:spacing w:val="-2"/>
              </w:rPr>
              <w:t>) do następujących reprezentatywnych organizacji pracodawców:</w:t>
            </w:r>
          </w:p>
          <w:p w14:paraId="440B8267" w14:textId="77777777" w:rsidR="007427BA" w:rsidRDefault="005B07B3" w:rsidP="007427BA">
            <w:pPr>
              <w:numPr>
                <w:ilvl w:val="0"/>
                <w:numId w:val="25"/>
              </w:numPr>
              <w:tabs>
                <w:tab w:val="clear" w:pos="720"/>
                <w:tab w:val="left" w:pos="919"/>
                <w:tab w:val="left" w:pos="1061"/>
              </w:tabs>
              <w:spacing w:after="120" w:line="240" w:lineRule="auto"/>
              <w:ind w:left="346" w:hanging="346"/>
              <w:contextualSpacing/>
              <w:jc w:val="both"/>
              <w:rPr>
                <w:rFonts w:ascii="Times New Roman" w:hAnsi="Times New Roman"/>
                <w:spacing w:val="-2"/>
              </w:rPr>
            </w:pPr>
            <w:r w:rsidRPr="005B07B3">
              <w:rPr>
                <w:rFonts w:ascii="Times New Roman" w:hAnsi="Times New Roman"/>
                <w:spacing w:val="-2"/>
              </w:rPr>
              <w:t>Pracodawcy RP,</w:t>
            </w:r>
          </w:p>
          <w:p w14:paraId="6475C2E3" w14:textId="32BE27D9" w:rsidR="005B07B3" w:rsidRPr="007427BA" w:rsidRDefault="005B07B3" w:rsidP="007427BA">
            <w:pPr>
              <w:numPr>
                <w:ilvl w:val="0"/>
                <w:numId w:val="25"/>
              </w:numPr>
              <w:tabs>
                <w:tab w:val="clear" w:pos="720"/>
                <w:tab w:val="left" w:pos="919"/>
                <w:tab w:val="left" w:pos="1061"/>
              </w:tabs>
              <w:spacing w:after="120" w:line="240" w:lineRule="auto"/>
              <w:ind w:left="346" w:hanging="346"/>
              <w:contextualSpacing/>
              <w:jc w:val="both"/>
              <w:rPr>
                <w:rFonts w:ascii="Times New Roman" w:hAnsi="Times New Roman"/>
                <w:spacing w:val="-2"/>
              </w:rPr>
            </w:pPr>
            <w:r w:rsidRPr="007427BA">
              <w:rPr>
                <w:rFonts w:ascii="Times New Roman" w:hAnsi="Times New Roman"/>
                <w:spacing w:val="-2"/>
              </w:rPr>
              <w:t>Konfederacja Lewiatan,</w:t>
            </w:r>
          </w:p>
          <w:p w14:paraId="14C26AE4" w14:textId="77777777" w:rsidR="005B07B3" w:rsidRPr="005B07B3" w:rsidRDefault="005B07B3" w:rsidP="007427BA">
            <w:pPr>
              <w:numPr>
                <w:ilvl w:val="0"/>
                <w:numId w:val="25"/>
              </w:numPr>
              <w:tabs>
                <w:tab w:val="clear" w:pos="720"/>
                <w:tab w:val="left" w:pos="919"/>
                <w:tab w:val="left" w:pos="1061"/>
              </w:tabs>
              <w:spacing w:after="120" w:line="240" w:lineRule="auto"/>
              <w:ind w:left="346" w:hanging="346"/>
              <w:contextualSpacing/>
              <w:jc w:val="both"/>
              <w:rPr>
                <w:rFonts w:ascii="Times New Roman" w:hAnsi="Times New Roman"/>
                <w:spacing w:val="-2"/>
              </w:rPr>
            </w:pPr>
            <w:r w:rsidRPr="005B07B3">
              <w:rPr>
                <w:rFonts w:ascii="Times New Roman" w:hAnsi="Times New Roman"/>
                <w:spacing w:val="-2"/>
              </w:rPr>
              <w:t>Związek Rzemiosła Polskiego,</w:t>
            </w:r>
          </w:p>
          <w:p w14:paraId="018B59F0" w14:textId="77777777" w:rsidR="005B07B3" w:rsidRPr="005B07B3" w:rsidRDefault="005B07B3" w:rsidP="007427BA">
            <w:pPr>
              <w:numPr>
                <w:ilvl w:val="0"/>
                <w:numId w:val="25"/>
              </w:numPr>
              <w:tabs>
                <w:tab w:val="clear" w:pos="720"/>
                <w:tab w:val="left" w:pos="919"/>
                <w:tab w:val="left" w:pos="1061"/>
              </w:tabs>
              <w:spacing w:after="120" w:line="240" w:lineRule="auto"/>
              <w:ind w:left="346" w:hanging="346"/>
              <w:contextualSpacing/>
              <w:jc w:val="both"/>
              <w:rPr>
                <w:rFonts w:ascii="Times New Roman" w:hAnsi="Times New Roman"/>
                <w:spacing w:val="-2"/>
              </w:rPr>
            </w:pPr>
            <w:r w:rsidRPr="005B07B3">
              <w:rPr>
                <w:rFonts w:ascii="Times New Roman" w:hAnsi="Times New Roman"/>
                <w:spacing w:val="-2"/>
              </w:rPr>
              <w:t>Związek Pracodawców Business Centre Club,</w:t>
            </w:r>
          </w:p>
          <w:p w14:paraId="5A060D00" w14:textId="77777777" w:rsidR="005B07B3" w:rsidRPr="005B07B3" w:rsidRDefault="005B07B3" w:rsidP="007427BA">
            <w:pPr>
              <w:numPr>
                <w:ilvl w:val="0"/>
                <w:numId w:val="25"/>
              </w:numPr>
              <w:tabs>
                <w:tab w:val="clear" w:pos="720"/>
                <w:tab w:val="left" w:pos="919"/>
                <w:tab w:val="left" w:pos="1061"/>
              </w:tabs>
              <w:spacing w:after="120" w:line="240" w:lineRule="auto"/>
              <w:ind w:left="346" w:hanging="346"/>
              <w:contextualSpacing/>
              <w:jc w:val="both"/>
              <w:rPr>
                <w:rFonts w:ascii="Times New Roman" w:hAnsi="Times New Roman"/>
                <w:spacing w:val="-2"/>
              </w:rPr>
            </w:pPr>
            <w:r w:rsidRPr="005B07B3">
              <w:rPr>
                <w:rFonts w:ascii="Times New Roman" w:hAnsi="Times New Roman"/>
                <w:spacing w:val="-2"/>
              </w:rPr>
              <w:t>Związek Przedsiębiorców i Pracodawców,</w:t>
            </w:r>
          </w:p>
          <w:p w14:paraId="352D9769" w14:textId="77777777" w:rsidR="005B07B3" w:rsidRPr="005B07B3" w:rsidRDefault="005B07B3" w:rsidP="007427BA">
            <w:pPr>
              <w:numPr>
                <w:ilvl w:val="0"/>
                <w:numId w:val="25"/>
              </w:numPr>
              <w:tabs>
                <w:tab w:val="clear" w:pos="720"/>
                <w:tab w:val="left" w:pos="919"/>
                <w:tab w:val="left" w:pos="1061"/>
              </w:tabs>
              <w:spacing w:after="120" w:line="240" w:lineRule="auto"/>
              <w:ind w:left="346" w:hanging="346"/>
              <w:contextualSpacing/>
              <w:jc w:val="both"/>
              <w:rPr>
                <w:rFonts w:ascii="Times New Roman" w:hAnsi="Times New Roman"/>
                <w:spacing w:val="-2"/>
              </w:rPr>
            </w:pPr>
            <w:r w:rsidRPr="005B07B3">
              <w:rPr>
                <w:rFonts w:ascii="Times New Roman" w:hAnsi="Times New Roman"/>
                <w:spacing w:val="-2"/>
              </w:rPr>
              <w:t>Federacja Przedsiębiorców Polskich,</w:t>
            </w:r>
          </w:p>
          <w:p w14:paraId="3116775B" w14:textId="77777777" w:rsidR="005B07B3" w:rsidRPr="005B07B3" w:rsidRDefault="005B07B3" w:rsidP="007427BA">
            <w:pPr>
              <w:numPr>
                <w:ilvl w:val="0"/>
                <w:numId w:val="25"/>
              </w:numPr>
              <w:tabs>
                <w:tab w:val="clear" w:pos="720"/>
                <w:tab w:val="left" w:pos="919"/>
                <w:tab w:val="left" w:pos="1061"/>
              </w:tabs>
              <w:spacing w:after="120" w:line="240" w:lineRule="auto"/>
              <w:ind w:left="346" w:hanging="346"/>
              <w:jc w:val="both"/>
              <w:rPr>
                <w:rFonts w:ascii="Times New Roman" w:hAnsi="Times New Roman"/>
                <w:spacing w:val="-2"/>
              </w:rPr>
            </w:pPr>
            <w:r w:rsidRPr="005B07B3">
              <w:rPr>
                <w:rFonts w:ascii="Times New Roman" w:hAnsi="Times New Roman"/>
                <w:spacing w:val="-2"/>
              </w:rPr>
              <w:t>Polskie Towarzystwo Gospodarcze.</w:t>
            </w:r>
          </w:p>
          <w:p w14:paraId="10D7C075" w14:textId="0F51F296" w:rsidR="00A16D5A" w:rsidRDefault="0077577D" w:rsidP="007427BA">
            <w:pPr>
              <w:tabs>
                <w:tab w:val="left" w:pos="919"/>
                <w:tab w:val="left" w:pos="1061"/>
              </w:tabs>
              <w:spacing w:after="120" w:line="240" w:lineRule="auto"/>
              <w:jc w:val="both"/>
              <w:rPr>
                <w:rFonts w:ascii="Times New Roman" w:hAnsi="Times New Roman"/>
                <w:spacing w:val="-2"/>
              </w:rPr>
            </w:pPr>
            <w:r w:rsidRPr="0077577D">
              <w:rPr>
                <w:rFonts w:ascii="Times New Roman" w:hAnsi="Times New Roman"/>
                <w:spacing w:val="-2"/>
              </w:rPr>
              <w:t>Projekt dotyczy spraw, o których mowa w art. 35 ust. 2 pkt 2 ustawy z dnia 24 kwietnia 2003 r. o działalności pożytku publicznego i o wolontariacie</w:t>
            </w:r>
            <w:r w:rsidRPr="0077577D">
              <w:t xml:space="preserve"> </w:t>
            </w:r>
            <w:r w:rsidRPr="00184D8D">
              <w:rPr>
                <w:rFonts w:ascii="Times New Roman" w:hAnsi="Times New Roman"/>
                <w:spacing w:val="-2"/>
              </w:rPr>
              <w:t>(Dz. U. z 2025 r. poz. 1338)</w:t>
            </w:r>
            <w:r w:rsidRPr="0077577D">
              <w:rPr>
                <w:rFonts w:ascii="Times New Roman" w:hAnsi="Times New Roman"/>
                <w:spacing w:val="-2"/>
              </w:rPr>
              <w:t xml:space="preserve">, wobec czego wymaga zaopiniowania przez Radę Działalności Pożytku Publicznego i zostanie przekazany do niej w celu wyrażenia opinii w terminie </w:t>
            </w:r>
            <w:r w:rsidR="003731B2">
              <w:rPr>
                <w:rFonts w:ascii="Times New Roman" w:hAnsi="Times New Roman"/>
                <w:spacing w:val="-2"/>
              </w:rPr>
              <w:t>21</w:t>
            </w:r>
            <w:r w:rsidRPr="0077577D">
              <w:rPr>
                <w:rFonts w:ascii="Times New Roman" w:hAnsi="Times New Roman"/>
                <w:spacing w:val="-2"/>
              </w:rPr>
              <w:t xml:space="preserve"> dni</w:t>
            </w:r>
            <w:r>
              <w:rPr>
                <w:rFonts w:ascii="Times New Roman" w:hAnsi="Times New Roman"/>
                <w:spacing w:val="-2"/>
              </w:rPr>
              <w:t>.</w:t>
            </w:r>
          </w:p>
          <w:p w14:paraId="34E6E406" w14:textId="52A5DE6E" w:rsidR="006C7345" w:rsidRPr="009F00FC" w:rsidRDefault="006C7345" w:rsidP="007427BA">
            <w:pPr>
              <w:spacing w:before="120" w:after="120" w:line="240" w:lineRule="auto"/>
              <w:jc w:val="both"/>
              <w:rPr>
                <w:rFonts w:ascii="Times New Roman" w:hAnsi="Times New Roman"/>
                <w:spacing w:val="-2"/>
              </w:rPr>
            </w:pPr>
            <w:r w:rsidRPr="009F00FC">
              <w:rPr>
                <w:rFonts w:ascii="Times New Roman" w:hAnsi="Times New Roman"/>
                <w:spacing w:val="-2"/>
              </w:rPr>
              <w:t xml:space="preserve">Projekt podlega opiniowaniu przez Komisję Wspólną Rządu i Samorządu Terytorialnego (KWRiST), gdyż dotyczy spraw związanych z samorządem terytorialnym, o których mowa w ustawie z dnia 6 maja 2005 r. o Komisji Wspólnej Rządu i Samorządu Terytorialnego oraz o przedstawicielach Rzeczypospolitej Polskiej w Komitecie Regionów Unii Europejskiej (Dz. U. </w:t>
            </w:r>
            <w:r w:rsidR="00A9725F" w:rsidRPr="009F00FC">
              <w:rPr>
                <w:rFonts w:ascii="Times New Roman" w:hAnsi="Times New Roman"/>
                <w:spacing w:val="-2"/>
              </w:rPr>
              <w:t xml:space="preserve">z 2024 r. </w:t>
            </w:r>
            <w:r w:rsidRPr="009F00FC">
              <w:rPr>
                <w:rFonts w:ascii="Times New Roman" w:hAnsi="Times New Roman"/>
                <w:spacing w:val="-2"/>
              </w:rPr>
              <w:t xml:space="preserve">poz. </w:t>
            </w:r>
            <w:r w:rsidR="00A9725F" w:rsidRPr="009F00FC">
              <w:rPr>
                <w:rFonts w:ascii="Times New Roman" w:hAnsi="Times New Roman"/>
                <w:spacing w:val="-2"/>
              </w:rPr>
              <w:t>949</w:t>
            </w:r>
            <w:r w:rsidRPr="009F00FC">
              <w:rPr>
                <w:rFonts w:ascii="Times New Roman" w:hAnsi="Times New Roman"/>
                <w:spacing w:val="-2"/>
              </w:rPr>
              <w:t xml:space="preserve">). </w:t>
            </w:r>
          </w:p>
          <w:p w14:paraId="4ED6C059" w14:textId="04EB6DED" w:rsidR="006C7345" w:rsidRPr="009F00FC" w:rsidRDefault="006C7345" w:rsidP="007427BA">
            <w:pPr>
              <w:spacing w:before="120" w:after="120" w:line="240" w:lineRule="auto"/>
              <w:jc w:val="both"/>
              <w:rPr>
                <w:rFonts w:ascii="Times New Roman" w:hAnsi="Times New Roman"/>
                <w:spacing w:val="-2"/>
              </w:rPr>
            </w:pPr>
            <w:r w:rsidRPr="009F00FC">
              <w:rPr>
                <w:rFonts w:ascii="Times New Roman" w:hAnsi="Times New Roman"/>
                <w:spacing w:val="-2"/>
              </w:rPr>
              <w:t>Projektowan</w:t>
            </w:r>
            <w:r w:rsidR="005A77B9" w:rsidRPr="009F00FC">
              <w:rPr>
                <w:rFonts w:ascii="Times New Roman" w:hAnsi="Times New Roman"/>
                <w:spacing w:val="-2"/>
              </w:rPr>
              <w:t>y akt prawny</w:t>
            </w:r>
            <w:r w:rsidRPr="009F00FC">
              <w:rPr>
                <w:rFonts w:ascii="Times New Roman" w:hAnsi="Times New Roman"/>
                <w:spacing w:val="-2"/>
              </w:rPr>
              <w:t xml:space="preserve"> nie wymaga przedstawienia właściwym instytucjom i organom Unii Europejskiej, w tym Europejskiemu Bankowi Centralnemu, celem uzyskania opinii, dokonania powiadomienia, konsultacji albo uzgodnienia projektu. </w:t>
            </w:r>
          </w:p>
          <w:bookmarkEnd w:id="11"/>
          <w:p w14:paraId="2A865483" w14:textId="405C8794" w:rsidR="00F12136" w:rsidRPr="009F00FC" w:rsidRDefault="002B13D9" w:rsidP="007427BA">
            <w:pPr>
              <w:spacing w:before="120" w:after="120" w:line="240" w:lineRule="auto"/>
              <w:jc w:val="both"/>
              <w:rPr>
                <w:rFonts w:ascii="Times New Roman" w:hAnsi="Times New Roman"/>
                <w:lang w:eastAsia="pl-PL"/>
              </w:rPr>
            </w:pPr>
            <w:r w:rsidRPr="002B13D9">
              <w:rPr>
                <w:rFonts w:ascii="Times New Roman" w:hAnsi="Times New Roman"/>
                <w:lang w:eastAsia="pl-PL"/>
              </w:rPr>
              <w:t>Wyniki opiniowania i konsultacji publicznych zostaną omówione w raporcie z konsultacji, zawierającym zestawienie przedstawionych stanowisk lub opinii i odniesienie się do nich przez organ wnioskujący, udostępnionym na stronie Rządowego Centrum Legislacji, w zakładce Rządowy Proces Legislacyjny, najpóźniej z dniem przekazania projektu na kolejny etap prac legislacyjnych</w:t>
            </w:r>
            <w:r w:rsidR="00B10921" w:rsidRPr="009F00FC">
              <w:rPr>
                <w:rFonts w:ascii="Times New Roman" w:hAnsi="Times New Roman"/>
                <w:lang w:eastAsia="pl-PL"/>
              </w:rPr>
              <w:t xml:space="preserve">. </w:t>
            </w:r>
            <w:bookmarkEnd w:id="12"/>
          </w:p>
        </w:tc>
      </w:tr>
    </w:tbl>
    <w:p w14:paraId="2EF66B62" w14:textId="77777777" w:rsidR="00BC3C23" w:rsidRPr="009F00FC" w:rsidRDefault="00BC3C23">
      <w:pPr>
        <w:rPr>
          <w:sz w:val="2"/>
          <w:szCs w:val="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80"/>
        <w:gridCol w:w="767"/>
        <w:gridCol w:w="709"/>
        <w:gridCol w:w="709"/>
        <w:gridCol w:w="708"/>
        <w:gridCol w:w="709"/>
        <w:gridCol w:w="709"/>
        <w:gridCol w:w="850"/>
        <w:gridCol w:w="851"/>
        <w:gridCol w:w="850"/>
        <w:gridCol w:w="709"/>
        <w:gridCol w:w="986"/>
        <w:gridCol w:w="6"/>
      </w:tblGrid>
      <w:tr w:rsidR="009F00FC" w:rsidRPr="009F00FC" w14:paraId="3D7E91AA" w14:textId="77777777" w:rsidTr="009603B5">
        <w:trPr>
          <w:gridAfter w:val="1"/>
          <w:wAfter w:w="6" w:type="dxa"/>
          <w:trHeight w:val="22"/>
        </w:trPr>
        <w:tc>
          <w:tcPr>
            <w:tcW w:w="10938" w:type="dxa"/>
            <w:gridSpan w:val="13"/>
            <w:shd w:val="clear" w:color="auto" w:fill="99CCFF"/>
          </w:tcPr>
          <w:p w14:paraId="6283F8E9" w14:textId="23B63C4F" w:rsidR="007E6AA4" w:rsidRPr="009F00FC" w:rsidRDefault="007E6AA4" w:rsidP="00723662">
            <w:pPr>
              <w:spacing w:line="240" w:lineRule="auto"/>
              <w:jc w:val="both"/>
              <w:rPr>
                <w:rFonts w:ascii="Times New Roman" w:hAnsi="Times New Roman"/>
                <w:b/>
                <w:bCs/>
                <w:lang w:eastAsia="pl-PL"/>
              </w:rPr>
            </w:pPr>
            <w:r w:rsidRPr="009F00FC">
              <w:rPr>
                <w:rFonts w:ascii="Times New Roman" w:hAnsi="Times New Roman"/>
                <w:b/>
                <w:bCs/>
              </w:rPr>
              <w:t>6. Wpływ na sektor finansów publicznych</w:t>
            </w:r>
          </w:p>
        </w:tc>
      </w:tr>
      <w:tr w:rsidR="009F00FC" w:rsidRPr="009F00FC" w14:paraId="7033733A" w14:textId="77777777" w:rsidTr="009603B5">
        <w:trPr>
          <w:gridAfter w:val="1"/>
          <w:wAfter w:w="6" w:type="dxa"/>
          <w:trHeight w:val="21"/>
        </w:trPr>
        <w:tc>
          <w:tcPr>
            <w:tcW w:w="1701" w:type="dxa"/>
            <w:vMerge w:val="restart"/>
            <w:shd w:val="clear" w:color="auto" w:fill="FFFFFF"/>
            <w:vAlign w:val="center"/>
          </w:tcPr>
          <w:p w14:paraId="5E6B8F39" w14:textId="79B5AC57" w:rsidR="007E6AA4" w:rsidRPr="009F00FC" w:rsidRDefault="007E6AA4" w:rsidP="00515165">
            <w:pPr>
              <w:spacing w:line="240" w:lineRule="auto"/>
              <w:jc w:val="center"/>
              <w:rPr>
                <w:rFonts w:ascii="Times New Roman" w:hAnsi="Times New Roman"/>
                <w:spacing w:val="-2"/>
                <w:sz w:val="16"/>
                <w:szCs w:val="16"/>
              </w:rPr>
            </w:pPr>
            <w:r w:rsidRPr="009F00FC">
              <w:rPr>
                <w:rFonts w:ascii="Times New Roman" w:hAnsi="Times New Roman"/>
                <w:spacing w:val="-2"/>
                <w:sz w:val="16"/>
                <w:szCs w:val="16"/>
              </w:rPr>
              <w:t>(ceny stałe z</w:t>
            </w:r>
            <w:r w:rsidR="00DE0F4F" w:rsidRPr="009F00FC">
              <w:rPr>
                <w:rFonts w:ascii="Times New Roman" w:hAnsi="Times New Roman"/>
                <w:spacing w:val="-2"/>
                <w:sz w:val="16"/>
                <w:szCs w:val="16"/>
              </w:rPr>
              <w:t xml:space="preserve"> </w:t>
            </w:r>
            <w:r w:rsidRPr="009F00FC">
              <w:rPr>
                <w:rFonts w:ascii="Times New Roman" w:hAnsi="Times New Roman"/>
                <w:spacing w:val="-2"/>
                <w:sz w:val="16"/>
                <w:szCs w:val="16"/>
              </w:rPr>
              <w:t>2021 r.)</w:t>
            </w:r>
          </w:p>
        </w:tc>
        <w:tc>
          <w:tcPr>
            <w:tcW w:w="9237" w:type="dxa"/>
            <w:gridSpan w:val="12"/>
            <w:shd w:val="clear" w:color="auto" w:fill="FFFFFF"/>
            <w:vAlign w:val="center"/>
          </w:tcPr>
          <w:p w14:paraId="2C1A50F9" w14:textId="5201B903" w:rsidR="007E6AA4" w:rsidRPr="009F00FC" w:rsidRDefault="007E6AA4" w:rsidP="00515165">
            <w:pPr>
              <w:spacing w:line="240" w:lineRule="auto"/>
              <w:jc w:val="center"/>
              <w:rPr>
                <w:rFonts w:ascii="Times New Roman" w:hAnsi="Times New Roman"/>
                <w:sz w:val="16"/>
                <w:szCs w:val="16"/>
                <w:lang w:eastAsia="pl-PL"/>
              </w:rPr>
            </w:pPr>
            <w:r w:rsidRPr="009F00FC">
              <w:rPr>
                <w:rFonts w:ascii="Times New Roman" w:hAnsi="Times New Roman"/>
                <w:sz w:val="16"/>
                <w:szCs w:val="16"/>
              </w:rPr>
              <w:t>Skutki w okresie 10 lat od wejścia w życie zmian [mln zł]</w:t>
            </w:r>
          </w:p>
        </w:tc>
      </w:tr>
      <w:tr w:rsidR="009F00FC" w:rsidRPr="009F00FC" w14:paraId="0B5730D6" w14:textId="77777777" w:rsidTr="00A846B7">
        <w:trPr>
          <w:trHeight w:val="21"/>
        </w:trPr>
        <w:tc>
          <w:tcPr>
            <w:tcW w:w="1701" w:type="dxa"/>
            <w:vMerge/>
            <w:shd w:val="clear" w:color="auto" w:fill="FFFFFF"/>
          </w:tcPr>
          <w:p w14:paraId="1D2D3105" w14:textId="77777777" w:rsidR="00A0521B" w:rsidRPr="009F00FC" w:rsidRDefault="00A0521B" w:rsidP="007E6AA4">
            <w:pPr>
              <w:spacing w:line="240" w:lineRule="auto"/>
              <w:jc w:val="both"/>
              <w:rPr>
                <w:rFonts w:ascii="Times New Roman" w:hAnsi="Times New Roman"/>
                <w:spacing w:val="-2"/>
                <w:sz w:val="16"/>
                <w:szCs w:val="16"/>
              </w:rPr>
            </w:pPr>
          </w:p>
        </w:tc>
        <w:tc>
          <w:tcPr>
            <w:tcW w:w="680" w:type="dxa"/>
            <w:shd w:val="clear" w:color="auto" w:fill="FFFFFF"/>
            <w:vAlign w:val="center"/>
          </w:tcPr>
          <w:p w14:paraId="44B387F6" w14:textId="288FFEBF"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0</w:t>
            </w:r>
          </w:p>
        </w:tc>
        <w:tc>
          <w:tcPr>
            <w:tcW w:w="767" w:type="dxa"/>
            <w:shd w:val="clear" w:color="auto" w:fill="FFFFFF"/>
            <w:vAlign w:val="center"/>
          </w:tcPr>
          <w:p w14:paraId="3673D251" w14:textId="372CB795"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1</w:t>
            </w:r>
          </w:p>
        </w:tc>
        <w:tc>
          <w:tcPr>
            <w:tcW w:w="709" w:type="dxa"/>
            <w:shd w:val="clear" w:color="auto" w:fill="FFFFFF"/>
            <w:vAlign w:val="center"/>
          </w:tcPr>
          <w:p w14:paraId="14584120" w14:textId="498BB2EF"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w:t>
            </w:r>
          </w:p>
        </w:tc>
        <w:tc>
          <w:tcPr>
            <w:tcW w:w="709" w:type="dxa"/>
            <w:shd w:val="clear" w:color="auto" w:fill="FFFFFF"/>
            <w:vAlign w:val="center"/>
          </w:tcPr>
          <w:p w14:paraId="18C717FB" w14:textId="0F5C5292"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3</w:t>
            </w:r>
          </w:p>
        </w:tc>
        <w:tc>
          <w:tcPr>
            <w:tcW w:w="708" w:type="dxa"/>
            <w:shd w:val="clear" w:color="auto" w:fill="FFFFFF"/>
            <w:vAlign w:val="center"/>
          </w:tcPr>
          <w:p w14:paraId="28EFCA3B" w14:textId="63D8530D"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4</w:t>
            </w:r>
          </w:p>
        </w:tc>
        <w:tc>
          <w:tcPr>
            <w:tcW w:w="709" w:type="dxa"/>
            <w:shd w:val="clear" w:color="auto" w:fill="FFFFFF"/>
            <w:vAlign w:val="center"/>
          </w:tcPr>
          <w:p w14:paraId="122E0F4E" w14:textId="7CF6F369"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5</w:t>
            </w:r>
          </w:p>
        </w:tc>
        <w:tc>
          <w:tcPr>
            <w:tcW w:w="709" w:type="dxa"/>
            <w:shd w:val="clear" w:color="auto" w:fill="FFFFFF"/>
            <w:vAlign w:val="center"/>
          </w:tcPr>
          <w:p w14:paraId="0C0DDCF6" w14:textId="28E4ED3F"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6</w:t>
            </w:r>
          </w:p>
        </w:tc>
        <w:tc>
          <w:tcPr>
            <w:tcW w:w="850" w:type="dxa"/>
            <w:shd w:val="clear" w:color="auto" w:fill="FFFFFF"/>
            <w:vAlign w:val="center"/>
          </w:tcPr>
          <w:p w14:paraId="0AE270A2" w14:textId="716E4527"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7</w:t>
            </w:r>
          </w:p>
        </w:tc>
        <w:tc>
          <w:tcPr>
            <w:tcW w:w="851" w:type="dxa"/>
            <w:shd w:val="clear" w:color="auto" w:fill="FFFFFF"/>
            <w:vAlign w:val="center"/>
          </w:tcPr>
          <w:p w14:paraId="2C07B139" w14:textId="2E5FDD02"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8</w:t>
            </w:r>
          </w:p>
        </w:tc>
        <w:tc>
          <w:tcPr>
            <w:tcW w:w="850" w:type="dxa"/>
            <w:shd w:val="clear" w:color="auto" w:fill="FFFFFF"/>
            <w:vAlign w:val="center"/>
          </w:tcPr>
          <w:p w14:paraId="3E269E4A" w14:textId="2EAE68AC"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9</w:t>
            </w:r>
          </w:p>
        </w:tc>
        <w:tc>
          <w:tcPr>
            <w:tcW w:w="709" w:type="dxa"/>
            <w:shd w:val="clear" w:color="auto" w:fill="FFFFFF"/>
            <w:vAlign w:val="center"/>
          </w:tcPr>
          <w:p w14:paraId="6A935AC4" w14:textId="73F26B3E"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10</w:t>
            </w:r>
          </w:p>
        </w:tc>
        <w:tc>
          <w:tcPr>
            <w:tcW w:w="992" w:type="dxa"/>
            <w:gridSpan w:val="2"/>
            <w:vMerge w:val="restart"/>
            <w:shd w:val="clear" w:color="auto" w:fill="FFFFFF"/>
            <w:vAlign w:val="center"/>
          </w:tcPr>
          <w:p w14:paraId="721C3CB7" w14:textId="45D0CEFC"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pacing w:val="-2"/>
                <w:sz w:val="16"/>
                <w:szCs w:val="16"/>
              </w:rPr>
              <w:t>Łącznie</w:t>
            </w:r>
          </w:p>
          <w:p w14:paraId="2C68C5BB" w14:textId="06BB62A8"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pacing w:val="-2"/>
                <w:sz w:val="16"/>
                <w:szCs w:val="16"/>
              </w:rPr>
              <w:t>202</w:t>
            </w:r>
            <w:r w:rsidR="00830864" w:rsidRPr="009F00FC">
              <w:rPr>
                <w:rFonts w:ascii="Times New Roman" w:hAnsi="Times New Roman"/>
                <w:spacing w:val="-2"/>
                <w:sz w:val="16"/>
                <w:szCs w:val="16"/>
              </w:rPr>
              <w:t>6</w:t>
            </w:r>
            <w:r w:rsidR="00FA7ABF" w:rsidRPr="009F00FC">
              <w:rPr>
                <w:rFonts w:ascii="Times New Roman" w:hAnsi="Times New Roman"/>
                <w:spacing w:val="-2"/>
                <w:sz w:val="16"/>
                <w:szCs w:val="16"/>
              </w:rPr>
              <w:t>–</w:t>
            </w:r>
            <w:r w:rsidRPr="009F00FC">
              <w:rPr>
                <w:rFonts w:ascii="Times New Roman" w:hAnsi="Times New Roman"/>
                <w:spacing w:val="-2"/>
                <w:sz w:val="16"/>
                <w:szCs w:val="16"/>
              </w:rPr>
              <w:t>203</w:t>
            </w:r>
            <w:r w:rsidR="00830864" w:rsidRPr="009F00FC">
              <w:rPr>
                <w:rFonts w:ascii="Times New Roman" w:hAnsi="Times New Roman"/>
                <w:spacing w:val="-2"/>
                <w:sz w:val="16"/>
                <w:szCs w:val="16"/>
              </w:rPr>
              <w:t>6</w:t>
            </w:r>
          </w:p>
        </w:tc>
      </w:tr>
      <w:tr w:rsidR="009F00FC" w:rsidRPr="009F00FC" w14:paraId="7EC068A6" w14:textId="77777777" w:rsidTr="00A846B7">
        <w:trPr>
          <w:trHeight w:val="21"/>
        </w:trPr>
        <w:tc>
          <w:tcPr>
            <w:tcW w:w="1701" w:type="dxa"/>
            <w:vMerge/>
            <w:shd w:val="clear" w:color="auto" w:fill="FFFFFF"/>
          </w:tcPr>
          <w:p w14:paraId="383413E7" w14:textId="77777777" w:rsidR="00A0521B" w:rsidRPr="009F00FC" w:rsidRDefault="00A0521B" w:rsidP="007E6AA4">
            <w:pPr>
              <w:spacing w:line="240" w:lineRule="auto"/>
              <w:jc w:val="both"/>
              <w:rPr>
                <w:rFonts w:ascii="Times New Roman" w:hAnsi="Times New Roman"/>
                <w:spacing w:val="-2"/>
              </w:rPr>
            </w:pPr>
          </w:p>
        </w:tc>
        <w:tc>
          <w:tcPr>
            <w:tcW w:w="680" w:type="dxa"/>
            <w:shd w:val="clear" w:color="auto" w:fill="FFFFFF"/>
            <w:vAlign w:val="center"/>
          </w:tcPr>
          <w:p w14:paraId="4732A7B1" w14:textId="1056BFD6"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202</w:t>
            </w:r>
            <w:r w:rsidR="00830864" w:rsidRPr="009F00FC">
              <w:rPr>
                <w:rFonts w:ascii="Times New Roman" w:hAnsi="Times New Roman"/>
                <w:sz w:val="16"/>
                <w:szCs w:val="16"/>
              </w:rPr>
              <w:t>6</w:t>
            </w:r>
          </w:p>
        </w:tc>
        <w:tc>
          <w:tcPr>
            <w:tcW w:w="767" w:type="dxa"/>
            <w:shd w:val="clear" w:color="auto" w:fill="FFFFFF"/>
            <w:vAlign w:val="center"/>
          </w:tcPr>
          <w:p w14:paraId="7D58091D" w14:textId="026A7EDA"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202</w:t>
            </w:r>
            <w:r w:rsidR="00830864" w:rsidRPr="009F00FC">
              <w:rPr>
                <w:rFonts w:ascii="Times New Roman" w:hAnsi="Times New Roman"/>
                <w:sz w:val="16"/>
                <w:szCs w:val="16"/>
              </w:rPr>
              <w:t>7</w:t>
            </w:r>
          </w:p>
        </w:tc>
        <w:tc>
          <w:tcPr>
            <w:tcW w:w="709" w:type="dxa"/>
            <w:shd w:val="clear" w:color="auto" w:fill="FFFFFF"/>
            <w:vAlign w:val="center"/>
          </w:tcPr>
          <w:p w14:paraId="3562993E" w14:textId="3DCE256F"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202</w:t>
            </w:r>
            <w:r w:rsidR="00830864" w:rsidRPr="009F00FC">
              <w:rPr>
                <w:rFonts w:ascii="Times New Roman" w:hAnsi="Times New Roman"/>
                <w:sz w:val="16"/>
                <w:szCs w:val="16"/>
              </w:rPr>
              <w:t>8</w:t>
            </w:r>
          </w:p>
        </w:tc>
        <w:tc>
          <w:tcPr>
            <w:tcW w:w="709" w:type="dxa"/>
            <w:shd w:val="clear" w:color="auto" w:fill="FFFFFF"/>
            <w:vAlign w:val="center"/>
          </w:tcPr>
          <w:p w14:paraId="229DB52B" w14:textId="286015CD"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202</w:t>
            </w:r>
            <w:r w:rsidR="00830864" w:rsidRPr="009F00FC">
              <w:rPr>
                <w:rFonts w:ascii="Times New Roman" w:hAnsi="Times New Roman"/>
                <w:sz w:val="16"/>
                <w:szCs w:val="16"/>
              </w:rPr>
              <w:t>9</w:t>
            </w:r>
          </w:p>
        </w:tc>
        <w:tc>
          <w:tcPr>
            <w:tcW w:w="708" w:type="dxa"/>
            <w:shd w:val="clear" w:color="auto" w:fill="FFFFFF"/>
            <w:vAlign w:val="center"/>
          </w:tcPr>
          <w:p w14:paraId="173BFDB4" w14:textId="35FA9FCB"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w:t>
            </w:r>
            <w:r w:rsidR="00830864" w:rsidRPr="009F00FC">
              <w:rPr>
                <w:rFonts w:ascii="Times New Roman" w:hAnsi="Times New Roman"/>
                <w:sz w:val="16"/>
                <w:szCs w:val="16"/>
              </w:rPr>
              <w:t>30</w:t>
            </w:r>
          </w:p>
        </w:tc>
        <w:tc>
          <w:tcPr>
            <w:tcW w:w="709" w:type="dxa"/>
            <w:shd w:val="clear" w:color="auto" w:fill="FFFFFF"/>
            <w:vAlign w:val="center"/>
          </w:tcPr>
          <w:p w14:paraId="73809603" w14:textId="719C24A4"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203</w:t>
            </w:r>
            <w:r w:rsidR="00830864" w:rsidRPr="009F00FC">
              <w:rPr>
                <w:rFonts w:ascii="Times New Roman" w:hAnsi="Times New Roman"/>
                <w:sz w:val="16"/>
                <w:szCs w:val="16"/>
              </w:rPr>
              <w:t>1</w:t>
            </w:r>
          </w:p>
        </w:tc>
        <w:tc>
          <w:tcPr>
            <w:tcW w:w="709" w:type="dxa"/>
            <w:shd w:val="clear" w:color="auto" w:fill="FFFFFF"/>
            <w:vAlign w:val="center"/>
          </w:tcPr>
          <w:p w14:paraId="2707F710" w14:textId="6264EEAD"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203</w:t>
            </w:r>
            <w:r w:rsidR="00830864" w:rsidRPr="009F00FC">
              <w:rPr>
                <w:rFonts w:ascii="Times New Roman" w:hAnsi="Times New Roman"/>
                <w:sz w:val="16"/>
                <w:szCs w:val="16"/>
              </w:rPr>
              <w:t>2</w:t>
            </w:r>
          </w:p>
        </w:tc>
        <w:tc>
          <w:tcPr>
            <w:tcW w:w="850" w:type="dxa"/>
            <w:shd w:val="clear" w:color="auto" w:fill="FFFFFF"/>
            <w:vAlign w:val="center"/>
          </w:tcPr>
          <w:p w14:paraId="779DF1F5" w14:textId="13F176F2"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203</w:t>
            </w:r>
            <w:r w:rsidR="00830864" w:rsidRPr="009F00FC">
              <w:rPr>
                <w:rFonts w:ascii="Times New Roman" w:hAnsi="Times New Roman"/>
                <w:sz w:val="16"/>
                <w:szCs w:val="16"/>
              </w:rPr>
              <w:t>3</w:t>
            </w:r>
          </w:p>
        </w:tc>
        <w:tc>
          <w:tcPr>
            <w:tcW w:w="851" w:type="dxa"/>
            <w:shd w:val="clear" w:color="auto" w:fill="FFFFFF"/>
            <w:vAlign w:val="center"/>
          </w:tcPr>
          <w:p w14:paraId="01583959" w14:textId="368297AA"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203</w:t>
            </w:r>
            <w:r w:rsidR="00830864" w:rsidRPr="009F00FC">
              <w:rPr>
                <w:rFonts w:ascii="Times New Roman" w:hAnsi="Times New Roman"/>
                <w:sz w:val="16"/>
                <w:szCs w:val="16"/>
              </w:rPr>
              <w:t>4</w:t>
            </w:r>
          </w:p>
        </w:tc>
        <w:tc>
          <w:tcPr>
            <w:tcW w:w="850" w:type="dxa"/>
            <w:shd w:val="clear" w:color="auto" w:fill="FFFFFF"/>
            <w:vAlign w:val="center"/>
          </w:tcPr>
          <w:p w14:paraId="309CA9D4" w14:textId="087688F9"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203</w:t>
            </w:r>
            <w:r w:rsidR="00830864" w:rsidRPr="009F00FC">
              <w:rPr>
                <w:rFonts w:ascii="Times New Roman" w:hAnsi="Times New Roman"/>
                <w:sz w:val="16"/>
                <w:szCs w:val="16"/>
              </w:rPr>
              <w:t>5</w:t>
            </w:r>
          </w:p>
        </w:tc>
        <w:tc>
          <w:tcPr>
            <w:tcW w:w="709" w:type="dxa"/>
            <w:shd w:val="clear" w:color="auto" w:fill="FFFFFF"/>
            <w:vAlign w:val="center"/>
          </w:tcPr>
          <w:p w14:paraId="052C0116" w14:textId="07076FDB" w:rsidR="00A0521B" w:rsidRPr="009F00FC" w:rsidRDefault="00A0521B" w:rsidP="00515165">
            <w:pPr>
              <w:spacing w:line="240" w:lineRule="auto"/>
              <w:jc w:val="center"/>
              <w:rPr>
                <w:rFonts w:ascii="Times New Roman" w:hAnsi="Times New Roman"/>
                <w:spacing w:val="-2"/>
                <w:sz w:val="16"/>
                <w:szCs w:val="16"/>
              </w:rPr>
            </w:pPr>
            <w:r w:rsidRPr="009F00FC">
              <w:rPr>
                <w:rFonts w:ascii="Times New Roman" w:hAnsi="Times New Roman"/>
                <w:sz w:val="16"/>
                <w:szCs w:val="16"/>
              </w:rPr>
              <w:t>203</w:t>
            </w:r>
            <w:r w:rsidR="00830864" w:rsidRPr="009F00FC">
              <w:rPr>
                <w:rFonts w:ascii="Times New Roman" w:hAnsi="Times New Roman"/>
                <w:sz w:val="16"/>
                <w:szCs w:val="16"/>
              </w:rPr>
              <w:t>6</w:t>
            </w:r>
          </w:p>
        </w:tc>
        <w:tc>
          <w:tcPr>
            <w:tcW w:w="992" w:type="dxa"/>
            <w:gridSpan w:val="2"/>
            <w:vMerge/>
            <w:shd w:val="clear" w:color="auto" w:fill="FFFFFF"/>
            <w:vAlign w:val="center"/>
          </w:tcPr>
          <w:p w14:paraId="3B168185" w14:textId="10B2D8CE" w:rsidR="00A0521B" w:rsidRPr="009F00FC" w:rsidRDefault="00A0521B" w:rsidP="00515165">
            <w:pPr>
              <w:spacing w:line="240" w:lineRule="auto"/>
              <w:jc w:val="center"/>
              <w:rPr>
                <w:rFonts w:ascii="Times New Roman" w:hAnsi="Times New Roman"/>
                <w:spacing w:val="-2"/>
                <w:sz w:val="18"/>
                <w:szCs w:val="18"/>
              </w:rPr>
            </w:pPr>
          </w:p>
        </w:tc>
      </w:tr>
      <w:tr w:rsidR="009F00FC" w:rsidRPr="009F00FC" w14:paraId="64FF110E" w14:textId="77777777" w:rsidTr="00A846B7">
        <w:trPr>
          <w:trHeight w:val="21"/>
        </w:trPr>
        <w:tc>
          <w:tcPr>
            <w:tcW w:w="1701" w:type="dxa"/>
            <w:shd w:val="clear" w:color="auto" w:fill="FFFFFF"/>
            <w:vAlign w:val="center"/>
          </w:tcPr>
          <w:p w14:paraId="03F81FDA" w14:textId="46A179DA" w:rsidR="007A0416" w:rsidRPr="009F00FC" w:rsidRDefault="007A0416" w:rsidP="007A0416">
            <w:pPr>
              <w:spacing w:line="240" w:lineRule="auto"/>
              <w:jc w:val="both"/>
              <w:rPr>
                <w:rFonts w:ascii="Times New Roman" w:hAnsi="Times New Roman"/>
                <w:spacing w:val="-2"/>
                <w:sz w:val="14"/>
                <w:szCs w:val="14"/>
              </w:rPr>
            </w:pPr>
            <w:r w:rsidRPr="009F00FC">
              <w:rPr>
                <w:rFonts w:ascii="Times New Roman" w:hAnsi="Times New Roman"/>
                <w:b/>
                <w:bCs/>
                <w:sz w:val="14"/>
                <w:szCs w:val="14"/>
              </w:rPr>
              <w:t>Dochody ogółem</w:t>
            </w:r>
          </w:p>
        </w:tc>
        <w:tc>
          <w:tcPr>
            <w:tcW w:w="680" w:type="dxa"/>
            <w:shd w:val="clear" w:color="auto" w:fill="FFFFFF"/>
          </w:tcPr>
          <w:p w14:paraId="26BBB8F7" w14:textId="6AE1C94E" w:rsidR="007A0416" w:rsidRPr="009F00FC" w:rsidRDefault="00AF46F5" w:rsidP="007A0416">
            <w:pPr>
              <w:spacing w:line="240" w:lineRule="auto"/>
              <w:jc w:val="right"/>
              <w:rPr>
                <w:rFonts w:ascii="Times New Roman" w:hAnsi="Times New Roman"/>
                <w:b/>
                <w:bCs/>
                <w:sz w:val="14"/>
                <w:szCs w:val="14"/>
              </w:rPr>
            </w:pPr>
            <w:r>
              <w:rPr>
                <w:rFonts w:ascii="Times New Roman" w:hAnsi="Times New Roman"/>
                <w:b/>
                <w:bCs/>
                <w:sz w:val="14"/>
                <w:szCs w:val="14"/>
              </w:rPr>
              <w:t>0</w:t>
            </w:r>
          </w:p>
        </w:tc>
        <w:tc>
          <w:tcPr>
            <w:tcW w:w="767" w:type="dxa"/>
            <w:shd w:val="clear" w:color="auto" w:fill="FFFFFF"/>
          </w:tcPr>
          <w:p w14:paraId="0AB3A517" w14:textId="2C0E588C" w:rsidR="007A0416" w:rsidRPr="009F00FC" w:rsidRDefault="00AF46F5" w:rsidP="007A0416">
            <w:pPr>
              <w:spacing w:line="240" w:lineRule="auto"/>
              <w:jc w:val="right"/>
              <w:rPr>
                <w:rFonts w:ascii="Times New Roman" w:hAnsi="Times New Roman"/>
                <w:b/>
                <w:bCs/>
                <w:sz w:val="14"/>
                <w:szCs w:val="14"/>
              </w:rPr>
            </w:pPr>
            <w:r>
              <w:rPr>
                <w:rFonts w:ascii="Times New Roman" w:hAnsi="Times New Roman"/>
                <w:b/>
                <w:bCs/>
                <w:sz w:val="14"/>
                <w:szCs w:val="14"/>
              </w:rPr>
              <w:t>0</w:t>
            </w:r>
          </w:p>
        </w:tc>
        <w:tc>
          <w:tcPr>
            <w:tcW w:w="709" w:type="dxa"/>
            <w:shd w:val="clear" w:color="auto" w:fill="FFFFFF"/>
          </w:tcPr>
          <w:p w14:paraId="28D1102A" w14:textId="4E0E6FC6" w:rsidR="007A0416" w:rsidRPr="009F00FC" w:rsidRDefault="00AF46F5" w:rsidP="007A0416">
            <w:pPr>
              <w:spacing w:line="240" w:lineRule="auto"/>
              <w:jc w:val="right"/>
              <w:rPr>
                <w:rFonts w:ascii="Times New Roman" w:hAnsi="Times New Roman"/>
                <w:b/>
                <w:bCs/>
                <w:sz w:val="14"/>
                <w:szCs w:val="14"/>
              </w:rPr>
            </w:pPr>
            <w:r>
              <w:rPr>
                <w:rFonts w:ascii="Times New Roman" w:hAnsi="Times New Roman"/>
                <w:b/>
                <w:bCs/>
                <w:sz w:val="14"/>
                <w:szCs w:val="14"/>
              </w:rPr>
              <w:t>0</w:t>
            </w:r>
          </w:p>
        </w:tc>
        <w:tc>
          <w:tcPr>
            <w:tcW w:w="709" w:type="dxa"/>
            <w:shd w:val="clear" w:color="auto" w:fill="FFFFFF"/>
          </w:tcPr>
          <w:p w14:paraId="7765E68F" w14:textId="0C27094B" w:rsidR="007A0416" w:rsidRPr="009F00FC" w:rsidRDefault="00AF46F5" w:rsidP="007A0416">
            <w:pPr>
              <w:spacing w:line="240" w:lineRule="auto"/>
              <w:jc w:val="right"/>
              <w:rPr>
                <w:rFonts w:ascii="Times New Roman" w:hAnsi="Times New Roman"/>
                <w:b/>
                <w:bCs/>
                <w:sz w:val="14"/>
                <w:szCs w:val="14"/>
              </w:rPr>
            </w:pPr>
            <w:r>
              <w:rPr>
                <w:rFonts w:ascii="Times New Roman" w:hAnsi="Times New Roman"/>
                <w:b/>
                <w:bCs/>
                <w:sz w:val="14"/>
                <w:szCs w:val="14"/>
              </w:rPr>
              <w:t>0</w:t>
            </w:r>
          </w:p>
        </w:tc>
        <w:tc>
          <w:tcPr>
            <w:tcW w:w="708" w:type="dxa"/>
            <w:shd w:val="clear" w:color="auto" w:fill="FFFFFF"/>
          </w:tcPr>
          <w:p w14:paraId="1B4AEAD8" w14:textId="39E07D4D" w:rsidR="007A0416" w:rsidRPr="009F00FC" w:rsidRDefault="00A846B7" w:rsidP="007A0416">
            <w:pPr>
              <w:spacing w:line="240" w:lineRule="auto"/>
              <w:jc w:val="right"/>
              <w:rPr>
                <w:rFonts w:ascii="Times New Roman" w:hAnsi="Times New Roman"/>
                <w:b/>
                <w:bCs/>
                <w:sz w:val="14"/>
                <w:szCs w:val="14"/>
              </w:rPr>
            </w:pPr>
            <w:r>
              <w:rPr>
                <w:rFonts w:ascii="Times New Roman" w:hAnsi="Times New Roman"/>
                <w:b/>
                <w:bCs/>
                <w:sz w:val="14"/>
                <w:szCs w:val="14"/>
              </w:rPr>
              <w:t>2</w:t>
            </w:r>
            <w:r w:rsidR="009F4AEC" w:rsidRPr="009F00FC">
              <w:rPr>
                <w:rFonts w:ascii="Times New Roman" w:hAnsi="Times New Roman"/>
                <w:b/>
                <w:bCs/>
                <w:sz w:val="14"/>
                <w:szCs w:val="14"/>
              </w:rPr>
              <w:t>,318</w:t>
            </w:r>
          </w:p>
        </w:tc>
        <w:tc>
          <w:tcPr>
            <w:tcW w:w="709" w:type="dxa"/>
            <w:shd w:val="clear" w:color="auto" w:fill="FFFFFF"/>
          </w:tcPr>
          <w:p w14:paraId="242033B7" w14:textId="600F61A0" w:rsidR="007A0416" w:rsidRPr="009F00FC" w:rsidRDefault="00A846B7" w:rsidP="007A0416">
            <w:pPr>
              <w:spacing w:line="240" w:lineRule="auto"/>
              <w:jc w:val="right"/>
              <w:rPr>
                <w:rFonts w:ascii="Times New Roman" w:hAnsi="Times New Roman"/>
                <w:b/>
                <w:bCs/>
                <w:sz w:val="14"/>
                <w:szCs w:val="14"/>
              </w:rPr>
            </w:pPr>
            <w:r>
              <w:rPr>
                <w:rFonts w:ascii="Times New Roman" w:hAnsi="Times New Roman"/>
                <w:b/>
                <w:bCs/>
                <w:sz w:val="14"/>
                <w:szCs w:val="14"/>
              </w:rPr>
              <w:t>0,09</w:t>
            </w:r>
          </w:p>
        </w:tc>
        <w:tc>
          <w:tcPr>
            <w:tcW w:w="709" w:type="dxa"/>
            <w:shd w:val="clear" w:color="auto" w:fill="FFFFFF"/>
          </w:tcPr>
          <w:p w14:paraId="026CC5C1" w14:textId="3C79B7C1" w:rsidR="007A0416" w:rsidRPr="009F00FC" w:rsidRDefault="00A846B7" w:rsidP="007A0416">
            <w:pPr>
              <w:spacing w:line="240" w:lineRule="auto"/>
              <w:jc w:val="right"/>
              <w:rPr>
                <w:rFonts w:ascii="Times New Roman" w:hAnsi="Times New Roman"/>
                <w:b/>
                <w:bCs/>
                <w:sz w:val="14"/>
                <w:szCs w:val="14"/>
              </w:rPr>
            </w:pPr>
            <w:r>
              <w:rPr>
                <w:rFonts w:ascii="Times New Roman" w:hAnsi="Times New Roman"/>
                <w:b/>
                <w:bCs/>
                <w:sz w:val="14"/>
                <w:szCs w:val="14"/>
              </w:rPr>
              <w:t>0,09</w:t>
            </w:r>
          </w:p>
        </w:tc>
        <w:tc>
          <w:tcPr>
            <w:tcW w:w="850" w:type="dxa"/>
            <w:shd w:val="clear" w:color="auto" w:fill="FFFFFF"/>
          </w:tcPr>
          <w:p w14:paraId="21EB4186" w14:textId="7FD7A7D0" w:rsidR="007A0416" w:rsidRPr="009F00FC" w:rsidRDefault="00A846B7" w:rsidP="007A0416">
            <w:pPr>
              <w:spacing w:line="240" w:lineRule="auto"/>
              <w:jc w:val="right"/>
              <w:rPr>
                <w:rFonts w:ascii="Times New Roman" w:hAnsi="Times New Roman"/>
                <w:b/>
                <w:bCs/>
                <w:sz w:val="14"/>
                <w:szCs w:val="14"/>
              </w:rPr>
            </w:pPr>
            <w:r>
              <w:rPr>
                <w:rFonts w:ascii="Times New Roman" w:hAnsi="Times New Roman"/>
                <w:b/>
                <w:bCs/>
                <w:sz w:val="14"/>
                <w:szCs w:val="14"/>
              </w:rPr>
              <w:t>0,09</w:t>
            </w:r>
          </w:p>
        </w:tc>
        <w:tc>
          <w:tcPr>
            <w:tcW w:w="851" w:type="dxa"/>
            <w:shd w:val="clear" w:color="auto" w:fill="FFFFFF"/>
          </w:tcPr>
          <w:p w14:paraId="593D854D" w14:textId="187F4882" w:rsidR="007A0416" w:rsidRPr="009F00FC" w:rsidRDefault="00A846B7" w:rsidP="007A0416">
            <w:pPr>
              <w:spacing w:line="240" w:lineRule="auto"/>
              <w:jc w:val="right"/>
              <w:rPr>
                <w:rFonts w:ascii="Times New Roman" w:hAnsi="Times New Roman"/>
                <w:b/>
                <w:bCs/>
                <w:sz w:val="14"/>
                <w:szCs w:val="14"/>
              </w:rPr>
            </w:pPr>
            <w:r>
              <w:rPr>
                <w:rFonts w:ascii="Times New Roman" w:hAnsi="Times New Roman"/>
                <w:b/>
                <w:bCs/>
                <w:sz w:val="14"/>
                <w:szCs w:val="14"/>
              </w:rPr>
              <w:t>0,09</w:t>
            </w:r>
          </w:p>
        </w:tc>
        <w:tc>
          <w:tcPr>
            <w:tcW w:w="850" w:type="dxa"/>
            <w:shd w:val="clear" w:color="auto" w:fill="FFFFFF"/>
          </w:tcPr>
          <w:p w14:paraId="282FC0BA" w14:textId="296E8766" w:rsidR="007A0416" w:rsidRPr="009F00FC" w:rsidRDefault="00A846B7" w:rsidP="007A0416">
            <w:pPr>
              <w:spacing w:line="240" w:lineRule="auto"/>
              <w:jc w:val="right"/>
              <w:rPr>
                <w:rFonts w:ascii="Times New Roman" w:hAnsi="Times New Roman"/>
                <w:b/>
                <w:bCs/>
                <w:sz w:val="14"/>
                <w:szCs w:val="14"/>
              </w:rPr>
            </w:pPr>
            <w:r>
              <w:rPr>
                <w:rFonts w:ascii="Times New Roman" w:hAnsi="Times New Roman"/>
                <w:b/>
                <w:bCs/>
                <w:sz w:val="14"/>
                <w:szCs w:val="14"/>
              </w:rPr>
              <w:t>0,09</w:t>
            </w:r>
          </w:p>
        </w:tc>
        <w:tc>
          <w:tcPr>
            <w:tcW w:w="709" w:type="dxa"/>
            <w:shd w:val="clear" w:color="auto" w:fill="FFFFFF"/>
          </w:tcPr>
          <w:p w14:paraId="4B016CAC" w14:textId="175A96A8" w:rsidR="007A0416" w:rsidRPr="009F00FC" w:rsidRDefault="00A846B7" w:rsidP="007A0416">
            <w:pPr>
              <w:spacing w:line="240" w:lineRule="auto"/>
              <w:jc w:val="right"/>
              <w:rPr>
                <w:rFonts w:ascii="Times New Roman" w:hAnsi="Times New Roman"/>
                <w:b/>
                <w:bCs/>
                <w:sz w:val="14"/>
                <w:szCs w:val="14"/>
              </w:rPr>
            </w:pPr>
            <w:r>
              <w:rPr>
                <w:rFonts w:ascii="Times New Roman" w:hAnsi="Times New Roman"/>
                <w:b/>
                <w:bCs/>
                <w:sz w:val="14"/>
                <w:szCs w:val="14"/>
              </w:rPr>
              <w:t>0,09</w:t>
            </w:r>
          </w:p>
        </w:tc>
        <w:tc>
          <w:tcPr>
            <w:tcW w:w="992" w:type="dxa"/>
            <w:gridSpan w:val="2"/>
            <w:shd w:val="clear" w:color="auto" w:fill="FFFFFF"/>
          </w:tcPr>
          <w:p w14:paraId="11E1E03F" w14:textId="42EDD755" w:rsidR="007A0416" w:rsidRPr="009F00FC" w:rsidRDefault="009F4AEC" w:rsidP="007A0416">
            <w:pPr>
              <w:spacing w:line="240" w:lineRule="auto"/>
              <w:jc w:val="right"/>
              <w:rPr>
                <w:rFonts w:ascii="Times New Roman" w:hAnsi="Times New Roman"/>
                <w:b/>
                <w:bCs/>
                <w:sz w:val="14"/>
                <w:szCs w:val="14"/>
              </w:rPr>
            </w:pPr>
            <w:r w:rsidRPr="009F00FC">
              <w:rPr>
                <w:rFonts w:ascii="Times New Roman" w:hAnsi="Times New Roman"/>
                <w:b/>
                <w:bCs/>
                <w:sz w:val="14"/>
                <w:szCs w:val="14"/>
              </w:rPr>
              <w:t>2,</w:t>
            </w:r>
            <w:r w:rsidR="0041435A">
              <w:rPr>
                <w:rFonts w:ascii="Times New Roman" w:hAnsi="Times New Roman"/>
                <w:b/>
                <w:bCs/>
                <w:sz w:val="14"/>
                <w:szCs w:val="14"/>
              </w:rPr>
              <w:t>85</w:t>
            </w:r>
            <w:r w:rsidRPr="009F00FC">
              <w:rPr>
                <w:rFonts w:ascii="Times New Roman" w:hAnsi="Times New Roman"/>
                <w:b/>
                <w:bCs/>
                <w:sz w:val="14"/>
                <w:szCs w:val="14"/>
              </w:rPr>
              <w:t>8</w:t>
            </w:r>
          </w:p>
        </w:tc>
      </w:tr>
      <w:tr w:rsidR="009F00FC" w:rsidRPr="009F00FC" w14:paraId="66DDBBD9" w14:textId="77777777" w:rsidTr="00A846B7">
        <w:trPr>
          <w:trHeight w:val="21"/>
        </w:trPr>
        <w:tc>
          <w:tcPr>
            <w:tcW w:w="1701" w:type="dxa"/>
            <w:shd w:val="clear" w:color="auto" w:fill="FFFFFF"/>
            <w:vAlign w:val="center"/>
          </w:tcPr>
          <w:p w14:paraId="06CA52AF" w14:textId="3E25E59E" w:rsidR="007A0416" w:rsidRPr="009F00FC" w:rsidRDefault="00AF46F5" w:rsidP="007A0416">
            <w:pPr>
              <w:spacing w:line="240" w:lineRule="auto"/>
              <w:jc w:val="both"/>
              <w:rPr>
                <w:rFonts w:ascii="Times New Roman" w:hAnsi="Times New Roman"/>
                <w:spacing w:val="-2"/>
                <w:sz w:val="14"/>
                <w:szCs w:val="14"/>
              </w:rPr>
            </w:pPr>
            <w:r>
              <w:rPr>
                <w:rFonts w:ascii="Times New Roman" w:hAnsi="Times New Roman"/>
                <w:sz w:val="14"/>
                <w:szCs w:val="14"/>
              </w:rPr>
              <w:t>B</w:t>
            </w:r>
            <w:r w:rsidR="007A0416" w:rsidRPr="009F00FC">
              <w:rPr>
                <w:rFonts w:ascii="Times New Roman" w:hAnsi="Times New Roman"/>
                <w:sz w:val="14"/>
                <w:szCs w:val="14"/>
              </w:rPr>
              <w:t xml:space="preserve">udżet państwa </w:t>
            </w:r>
          </w:p>
        </w:tc>
        <w:tc>
          <w:tcPr>
            <w:tcW w:w="680" w:type="dxa"/>
            <w:shd w:val="clear" w:color="auto" w:fill="FFFFFF"/>
            <w:vAlign w:val="center"/>
          </w:tcPr>
          <w:p w14:paraId="1F8ECD5D" w14:textId="6EE4D97D"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67" w:type="dxa"/>
            <w:shd w:val="clear" w:color="auto" w:fill="FFFFFF"/>
            <w:vAlign w:val="center"/>
          </w:tcPr>
          <w:p w14:paraId="446932E4" w14:textId="01114CBB"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12D220F5" w14:textId="1B766F15"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22471F76" w14:textId="4D6E292A"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8" w:type="dxa"/>
            <w:shd w:val="clear" w:color="auto" w:fill="FFFFFF"/>
            <w:vAlign w:val="center"/>
          </w:tcPr>
          <w:p w14:paraId="1D8EBE26" w14:textId="2FCF1B67"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082167D6" w14:textId="391367C2"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049940C8" w14:textId="6B5014D1"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0" w:type="dxa"/>
            <w:shd w:val="clear" w:color="auto" w:fill="FFFFFF"/>
            <w:vAlign w:val="center"/>
          </w:tcPr>
          <w:p w14:paraId="0656E970" w14:textId="1E47D707"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1" w:type="dxa"/>
            <w:shd w:val="clear" w:color="auto" w:fill="FFFFFF"/>
            <w:vAlign w:val="center"/>
          </w:tcPr>
          <w:p w14:paraId="4F462AAE" w14:textId="061013ED"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0" w:type="dxa"/>
            <w:shd w:val="clear" w:color="auto" w:fill="FFFFFF"/>
            <w:vAlign w:val="center"/>
          </w:tcPr>
          <w:p w14:paraId="51E02981" w14:textId="3EA2F690"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1FA520F8" w14:textId="56B20C91"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992" w:type="dxa"/>
            <w:gridSpan w:val="2"/>
            <w:shd w:val="clear" w:color="auto" w:fill="FFFFFF"/>
            <w:vAlign w:val="center"/>
          </w:tcPr>
          <w:p w14:paraId="26E384B8" w14:textId="165587B2" w:rsidR="007A0416" w:rsidRPr="009F00FC" w:rsidRDefault="007A0416" w:rsidP="007A0416">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r>
      <w:tr w:rsidR="00AF46F5" w:rsidRPr="009F00FC" w14:paraId="421349C6" w14:textId="77777777" w:rsidTr="00A846B7">
        <w:trPr>
          <w:trHeight w:val="21"/>
        </w:trPr>
        <w:tc>
          <w:tcPr>
            <w:tcW w:w="1701" w:type="dxa"/>
            <w:shd w:val="clear" w:color="auto" w:fill="FFFFFF"/>
            <w:vAlign w:val="center"/>
          </w:tcPr>
          <w:p w14:paraId="737F8EEE" w14:textId="5C787AF5" w:rsidR="00AF46F5" w:rsidRPr="009F00FC" w:rsidRDefault="00AF46F5" w:rsidP="00AF46F5">
            <w:pPr>
              <w:spacing w:line="240" w:lineRule="auto"/>
              <w:jc w:val="both"/>
              <w:rPr>
                <w:rFonts w:ascii="Times New Roman" w:hAnsi="Times New Roman"/>
                <w:spacing w:val="-2"/>
                <w:sz w:val="14"/>
                <w:szCs w:val="14"/>
              </w:rPr>
            </w:pPr>
            <w:r w:rsidRPr="009F00FC">
              <w:rPr>
                <w:rFonts w:ascii="Times New Roman" w:hAnsi="Times New Roman"/>
                <w:sz w:val="14"/>
                <w:szCs w:val="14"/>
              </w:rPr>
              <w:t xml:space="preserve">NFOŚiGW </w:t>
            </w:r>
          </w:p>
        </w:tc>
        <w:tc>
          <w:tcPr>
            <w:tcW w:w="680" w:type="dxa"/>
            <w:shd w:val="clear" w:color="auto" w:fill="FFFFFF"/>
            <w:vAlign w:val="center"/>
          </w:tcPr>
          <w:p w14:paraId="01041768" w14:textId="3FF1D5ED" w:rsidR="00AF46F5" w:rsidRPr="009F00FC" w:rsidRDefault="00A846B7" w:rsidP="00AF46F5">
            <w:pPr>
              <w:spacing w:line="240" w:lineRule="auto"/>
              <w:jc w:val="right"/>
              <w:rPr>
                <w:rFonts w:ascii="Times New Roman" w:hAnsi="Times New Roman"/>
                <w:spacing w:val="-2"/>
                <w:sz w:val="14"/>
                <w:szCs w:val="14"/>
              </w:rPr>
            </w:pPr>
            <w:r>
              <w:rPr>
                <w:rFonts w:ascii="Times New Roman" w:hAnsi="Times New Roman"/>
                <w:sz w:val="14"/>
                <w:szCs w:val="14"/>
              </w:rPr>
              <w:t>0</w:t>
            </w:r>
          </w:p>
        </w:tc>
        <w:tc>
          <w:tcPr>
            <w:tcW w:w="767" w:type="dxa"/>
            <w:shd w:val="clear" w:color="auto" w:fill="FFFFFF"/>
            <w:vAlign w:val="center"/>
          </w:tcPr>
          <w:p w14:paraId="1502A65C" w14:textId="3233B8ED" w:rsidR="00AF46F5" w:rsidRPr="009F00FC" w:rsidRDefault="00A846B7" w:rsidP="00AF46F5">
            <w:pPr>
              <w:spacing w:line="240" w:lineRule="auto"/>
              <w:jc w:val="right"/>
              <w:rPr>
                <w:rFonts w:ascii="Times New Roman" w:hAnsi="Times New Roman"/>
                <w:spacing w:val="-2"/>
                <w:sz w:val="14"/>
                <w:szCs w:val="14"/>
              </w:rPr>
            </w:pPr>
            <w:r>
              <w:rPr>
                <w:rFonts w:ascii="Times New Roman" w:hAnsi="Times New Roman"/>
                <w:sz w:val="14"/>
                <w:szCs w:val="14"/>
              </w:rPr>
              <w:t>0</w:t>
            </w:r>
          </w:p>
        </w:tc>
        <w:tc>
          <w:tcPr>
            <w:tcW w:w="709" w:type="dxa"/>
            <w:shd w:val="clear" w:color="auto" w:fill="FFFFFF"/>
            <w:vAlign w:val="center"/>
          </w:tcPr>
          <w:p w14:paraId="21B4C608" w14:textId="07B41004" w:rsidR="00AF46F5" w:rsidRPr="009F00FC" w:rsidRDefault="00A846B7" w:rsidP="00AF46F5">
            <w:pPr>
              <w:spacing w:line="240" w:lineRule="auto"/>
              <w:jc w:val="right"/>
              <w:rPr>
                <w:rFonts w:ascii="Times New Roman" w:hAnsi="Times New Roman"/>
                <w:spacing w:val="-2"/>
                <w:sz w:val="14"/>
                <w:szCs w:val="14"/>
              </w:rPr>
            </w:pPr>
            <w:r>
              <w:rPr>
                <w:rFonts w:ascii="Times New Roman" w:hAnsi="Times New Roman"/>
                <w:sz w:val="14"/>
                <w:szCs w:val="14"/>
              </w:rPr>
              <w:t>0</w:t>
            </w:r>
          </w:p>
        </w:tc>
        <w:tc>
          <w:tcPr>
            <w:tcW w:w="709" w:type="dxa"/>
            <w:shd w:val="clear" w:color="auto" w:fill="FFFFFF"/>
            <w:vAlign w:val="center"/>
          </w:tcPr>
          <w:p w14:paraId="2F1DDF23" w14:textId="52A35D79" w:rsidR="00AF46F5" w:rsidRPr="009F00FC" w:rsidRDefault="00A846B7" w:rsidP="00AF46F5">
            <w:pPr>
              <w:spacing w:line="240" w:lineRule="auto"/>
              <w:jc w:val="right"/>
              <w:rPr>
                <w:rFonts w:ascii="Times New Roman" w:hAnsi="Times New Roman"/>
                <w:spacing w:val="-2"/>
                <w:sz w:val="14"/>
                <w:szCs w:val="14"/>
              </w:rPr>
            </w:pPr>
            <w:r>
              <w:rPr>
                <w:rFonts w:ascii="Times New Roman" w:hAnsi="Times New Roman"/>
                <w:sz w:val="14"/>
                <w:szCs w:val="14"/>
              </w:rPr>
              <w:t>0</w:t>
            </w:r>
          </w:p>
        </w:tc>
        <w:tc>
          <w:tcPr>
            <w:tcW w:w="708" w:type="dxa"/>
            <w:shd w:val="clear" w:color="auto" w:fill="FFFFFF"/>
            <w:vAlign w:val="center"/>
          </w:tcPr>
          <w:p w14:paraId="280602B8" w14:textId="7E0D1D7E" w:rsidR="00AF46F5" w:rsidRPr="009F00FC" w:rsidRDefault="00A846B7" w:rsidP="00AF46F5">
            <w:pPr>
              <w:spacing w:line="240" w:lineRule="auto"/>
              <w:jc w:val="right"/>
              <w:rPr>
                <w:rFonts w:ascii="Times New Roman" w:hAnsi="Times New Roman"/>
                <w:spacing w:val="-2"/>
                <w:sz w:val="14"/>
                <w:szCs w:val="14"/>
              </w:rPr>
            </w:pPr>
            <w:r>
              <w:rPr>
                <w:rFonts w:ascii="Times New Roman" w:hAnsi="Times New Roman"/>
                <w:spacing w:val="-2"/>
                <w:sz w:val="14"/>
                <w:szCs w:val="14"/>
              </w:rPr>
              <w:t>2,318</w:t>
            </w:r>
          </w:p>
        </w:tc>
        <w:tc>
          <w:tcPr>
            <w:tcW w:w="709" w:type="dxa"/>
            <w:shd w:val="clear" w:color="auto" w:fill="FFFFFF"/>
            <w:vAlign w:val="center"/>
          </w:tcPr>
          <w:p w14:paraId="09A30322" w14:textId="125DBB6E" w:rsidR="00AF46F5" w:rsidRPr="009F00FC" w:rsidRDefault="00A846B7" w:rsidP="00AF46F5">
            <w:pPr>
              <w:spacing w:line="240" w:lineRule="auto"/>
              <w:jc w:val="right"/>
              <w:rPr>
                <w:rFonts w:ascii="Times New Roman" w:hAnsi="Times New Roman"/>
                <w:spacing w:val="-2"/>
                <w:sz w:val="14"/>
                <w:szCs w:val="14"/>
              </w:rPr>
            </w:pPr>
            <w:r>
              <w:rPr>
                <w:rFonts w:ascii="Times New Roman" w:hAnsi="Times New Roman"/>
                <w:spacing w:val="-2"/>
                <w:sz w:val="14"/>
                <w:szCs w:val="14"/>
              </w:rPr>
              <w:t>0,09</w:t>
            </w:r>
          </w:p>
        </w:tc>
        <w:tc>
          <w:tcPr>
            <w:tcW w:w="709" w:type="dxa"/>
            <w:shd w:val="clear" w:color="auto" w:fill="FFFFFF"/>
            <w:vAlign w:val="center"/>
          </w:tcPr>
          <w:p w14:paraId="4DBBE69C" w14:textId="4C326656"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r w:rsidR="00A846B7">
              <w:rPr>
                <w:rFonts w:ascii="Times New Roman" w:hAnsi="Times New Roman"/>
                <w:sz w:val="14"/>
                <w:szCs w:val="14"/>
              </w:rPr>
              <w:t>,09</w:t>
            </w:r>
          </w:p>
        </w:tc>
        <w:tc>
          <w:tcPr>
            <w:tcW w:w="850" w:type="dxa"/>
            <w:shd w:val="clear" w:color="auto" w:fill="FFFFFF"/>
            <w:vAlign w:val="center"/>
          </w:tcPr>
          <w:p w14:paraId="3C8ADA28" w14:textId="73FBAFDE"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r w:rsidR="00A846B7">
              <w:rPr>
                <w:rFonts w:ascii="Times New Roman" w:hAnsi="Times New Roman"/>
                <w:sz w:val="14"/>
                <w:szCs w:val="14"/>
              </w:rPr>
              <w:t>,09</w:t>
            </w:r>
          </w:p>
        </w:tc>
        <w:tc>
          <w:tcPr>
            <w:tcW w:w="851" w:type="dxa"/>
            <w:shd w:val="clear" w:color="auto" w:fill="FFFFFF"/>
            <w:vAlign w:val="center"/>
          </w:tcPr>
          <w:p w14:paraId="35E00CD8" w14:textId="5607347A"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r w:rsidR="00A846B7">
              <w:rPr>
                <w:rFonts w:ascii="Times New Roman" w:hAnsi="Times New Roman"/>
                <w:sz w:val="14"/>
                <w:szCs w:val="14"/>
              </w:rPr>
              <w:t>,09</w:t>
            </w:r>
          </w:p>
        </w:tc>
        <w:tc>
          <w:tcPr>
            <w:tcW w:w="850" w:type="dxa"/>
            <w:shd w:val="clear" w:color="auto" w:fill="FFFFFF"/>
            <w:vAlign w:val="center"/>
          </w:tcPr>
          <w:p w14:paraId="6F598BEA" w14:textId="354CD449"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r w:rsidR="00A846B7">
              <w:rPr>
                <w:rFonts w:ascii="Times New Roman" w:hAnsi="Times New Roman"/>
                <w:sz w:val="14"/>
                <w:szCs w:val="14"/>
              </w:rPr>
              <w:t>,09</w:t>
            </w:r>
          </w:p>
        </w:tc>
        <w:tc>
          <w:tcPr>
            <w:tcW w:w="709" w:type="dxa"/>
            <w:shd w:val="clear" w:color="auto" w:fill="FFFFFF"/>
            <w:vAlign w:val="center"/>
          </w:tcPr>
          <w:p w14:paraId="59597ADB" w14:textId="2B4A3F26"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r w:rsidR="00A846B7">
              <w:rPr>
                <w:rFonts w:ascii="Times New Roman" w:hAnsi="Times New Roman"/>
                <w:sz w:val="14"/>
                <w:szCs w:val="14"/>
              </w:rPr>
              <w:t>,09</w:t>
            </w:r>
          </w:p>
        </w:tc>
        <w:tc>
          <w:tcPr>
            <w:tcW w:w="992" w:type="dxa"/>
            <w:gridSpan w:val="2"/>
            <w:shd w:val="clear" w:color="auto" w:fill="FFFFFF"/>
            <w:vAlign w:val="center"/>
          </w:tcPr>
          <w:p w14:paraId="5AF02429" w14:textId="40829977"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pacing w:val="-2"/>
                <w:sz w:val="14"/>
                <w:szCs w:val="14"/>
              </w:rPr>
              <w:t>2,</w:t>
            </w:r>
            <w:r w:rsidR="0041435A">
              <w:rPr>
                <w:rFonts w:ascii="Times New Roman" w:hAnsi="Times New Roman"/>
                <w:spacing w:val="-2"/>
                <w:sz w:val="14"/>
                <w:szCs w:val="14"/>
              </w:rPr>
              <w:t>85</w:t>
            </w:r>
            <w:r w:rsidRPr="009F00FC">
              <w:rPr>
                <w:rFonts w:ascii="Times New Roman" w:hAnsi="Times New Roman"/>
                <w:spacing w:val="-2"/>
                <w:sz w:val="14"/>
                <w:szCs w:val="14"/>
              </w:rPr>
              <w:t>8</w:t>
            </w:r>
          </w:p>
        </w:tc>
      </w:tr>
      <w:tr w:rsidR="00B53BCF" w:rsidRPr="009F00FC" w14:paraId="046F5D63" w14:textId="77777777" w:rsidTr="00A846B7">
        <w:trPr>
          <w:trHeight w:val="21"/>
        </w:trPr>
        <w:tc>
          <w:tcPr>
            <w:tcW w:w="1701" w:type="dxa"/>
            <w:shd w:val="clear" w:color="auto" w:fill="FFFFFF"/>
            <w:vAlign w:val="center"/>
          </w:tcPr>
          <w:p w14:paraId="2A0BD2F1" w14:textId="5AD35DF8" w:rsidR="00B53BCF" w:rsidRPr="009F00FC" w:rsidRDefault="00B53BCF" w:rsidP="00AF46F5">
            <w:pPr>
              <w:spacing w:line="240" w:lineRule="auto"/>
              <w:jc w:val="both"/>
              <w:rPr>
                <w:rFonts w:ascii="Times New Roman" w:hAnsi="Times New Roman"/>
                <w:sz w:val="14"/>
                <w:szCs w:val="14"/>
              </w:rPr>
            </w:pPr>
            <w:r>
              <w:rPr>
                <w:rFonts w:ascii="Times New Roman" w:hAnsi="Times New Roman"/>
                <w:sz w:val="14"/>
                <w:szCs w:val="14"/>
              </w:rPr>
              <w:t>JST</w:t>
            </w:r>
          </w:p>
        </w:tc>
        <w:tc>
          <w:tcPr>
            <w:tcW w:w="680" w:type="dxa"/>
            <w:shd w:val="clear" w:color="auto" w:fill="FFFFFF"/>
            <w:vAlign w:val="center"/>
          </w:tcPr>
          <w:p w14:paraId="22A83E52" w14:textId="0C9AB306" w:rsidR="00B53BCF"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767" w:type="dxa"/>
            <w:shd w:val="clear" w:color="auto" w:fill="FFFFFF"/>
            <w:vAlign w:val="center"/>
          </w:tcPr>
          <w:p w14:paraId="2B6B904E" w14:textId="25D2A0CF" w:rsidR="00B53BCF"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709" w:type="dxa"/>
            <w:shd w:val="clear" w:color="auto" w:fill="FFFFFF"/>
            <w:vAlign w:val="center"/>
          </w:tcPr>
          <w:p w14:paraId="588BC2DF" w14:textId="1C6FDE72" w:rsidR="00B53BCF"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709" w:type="dxa"/>
            <w:shd w:val="clear" w:color="auto" w:fill="FFFFFF"/>
            <w:vAlign w:val="center"/>
          </w:tcPr>
          <w:p w14:paraId="04BFCA3E" w14:textId="0AB58C91" w:rsidR="00B53BCF"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708" w:type="dxa"/>
            <w:shd w:val="clear" w:color="auto" w:fill="FFFFFF"/>
            <w:vAlign w:val="center"/>
          </w:tcPr>
          <w:p w14:paraId="4CBE6F36" w14:textId="71DE3F49" w:rsidR="00B53BCF" w:rsidRDefault="00684149" w:rsidP="00AF46F5">
            <w:pPr>
              <w:spacing w:line="240" w:lineRule="auto"/>
              <w:jc w:val="right"/>
              <w:rPr>
                <w:rFonts w:ascii="Times New Roman" w:hAnsi="Times New Roman"/>
                <w:spacing w:val="-2"/>
                <w:sz w:val="14"/>
                <w:szCs w:val="14"/>
              </w:rPr>
            </w:pPr>
            <w:r>
              <w:rPr>
                <w:rFonts w:ascii="Times New Roman" w:hAnsi="Times New Roman"/>
                <w:spacing w:val="-2"/>
                <w:sz w:val="14"/>
                <w:szCs w:val="14"/>
              </w:rPr>
              <w:t>0</w:t>
            </w:r>
          </w:p>
        </w:tc>
        <w:tc>
          <w:tcPr>
            <w:tcW w:w="709" w:type="dxa"/>
            <w:shd w:val="clear" w:color="auto" w:fill="FFFFFF"/>
            <w:vAlign w:val="center"/>
          </w:tcPr>
          <w:p w14:paraId="40BD376B" w14:textId="762EBE97" w:rsidR="00B53BCF" w:rsidRDefault="00684149" w:rsidP="00AF46F5">
            <w:pPr>
              <w:spacing w:line="240" w:lineRule="auto"/>
              <w:jc w:val="right"/>
              <w:rPr>
                <w:rFonts w:ascii="Times New Roman" w:hAnsi="Times New Roman"/>
                <w:spacing w:val="-2"/>
                <w:sz w:val="14"/>
                <w:szCs w:val="14"/>
              </w:rPr>
            </w:pPr>
            <w:r>
              <w:rPr>
                <w:rFonts w:ascii="Times New Roman" w:hAnsi="Times New Roman"/>
                <w:spacing w:val="-2"/>
                <w:sz w:val="14"/>
                <w:szCs w:val="14"/>
              </w:rPr>
              <w:t>0</w:t>
            </w:r>
          </w:p>
        </w:tc>
        <w:tc>
          <w:tcPr>
            <w:tcW w:w="709" w:type="dxa"/>
            <w:shd w:val="clear" w:color="auto" w:fill="FFFFFF"/>
            <w:vAlign w:val="center"/>
          </w:tcPr>
          <w:p w14:paraId="3603E4AE" w14:textId="7A52966C" w:rsidR="00B53BCF" w:rsidRPr="009F00FC"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850" w:type="dxa"/>
            <w:shd w:val="clear" w:color="auto" w:fill="FFFFFF"/>
            <w:vAlign w:val="center"/>
          </w:tcPr>
          <w:p w14:paraId="4E68B4C3" w14:textId="4D6198E8" w:rsidR="00B53BCF" w:rsidRPr="009F00FC"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851" w:type="dxa"/>
            <w:shd w:val="clear" w:color="auto" w:fill="FFFFFF"/>
            <w:vAlign w:val="center"/>
          </w:tcPr>
          <w:p w14:paraId="21EB769B" w14:textId="3433D6DF" w:rsidR="00B53BCF" w:rsidRPr="009F00FC"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850" w:type="dxa"/>
            <w:shd w:val="clear" w:color="auto" w:fill="FFFFFF"/>
            <w:vAlign w:val="center"/>
          </w:tcPr>
          <w:p w14:paraId="6131E303" w14:textId="43C6F3A4" w:rsidR="00B53BCF" w:rsidRPr="009F00FC"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709" w:type="dxa"/>
            <w:shd w:val="clear" w:color="auto" w:fill="FFFFFF"/>
            <w:vAlign w:val="center"/>
          </w:tcPr>
          <w:p w14:paraId="51DEC799" w14:textId="427DB11F" w:rsidR="00B53BCF" w:rsidRPr="009F00FC" w:rsidRDefault="00684149" w:rsidP="00AF46F5">
            <w:pPr>
              <w:spacing w:line="240" w:lineRule="auto"/>
              <w:jc w:val="right"/>
              <w:rPr>
                <w:rFonts w:ascii="Times New Roman" w:hAnsi="Times New Roman"/>
                <w:sz w:val="14"/>
                <w:szCs w:val="14"/>
              </w:rPr>
            </w:pPr>
            <w:r>
              <w:rPr>
                <w:rFonts w:ascii="Times New Roman" w:hAnsi="Times New Roman"/>
                <w:sz w:val="14"/>
                <w:szCs w:val="14"/>
              </w:rPr>
              <w:t>0</w:t>
            </w:r>
          </w:p>
        </w:tc>
        <w:tc>
          <w:tcPr>
            <w:tcW w:w="992" w:type="dxa"/>
            <w:gridSpan w:val="2"/>
            <w:shd w:val="clear" w:color="auto" w:fill="FFFFFF"/>
            <w:vAlign w:val="center"/>
          </w:tcPr>
          <w:p w14:paraId="6A9C2CCB" w14:textId="6B00C43B" w:rsidR="00B53BCF" w:rsidRPr="009F00FC" w:rsidRDefault="00684149" w:rsidP="00AF46F5">
            <w:pPr>
              <w:spacing w:line="240" w:lineRule="auto"/>
              <w:jc w:val="right"/>
              <w:rPr>
                <w:rFonts w:ascii="Times New Roman" w:hAnsi="Times New Roman"/>
                <w:spacing w:val="-2"/>
                <w:sz w:val="14"/>
                <w:szCs w:val="14"/>
              </w:rPr>
            </w:pPr>
            <w:r>
              <w:rPr>
                <w:rFonts w:ascii="Times New Roman" w:hAnsi="Times New Roman"/>
                <w:spacing w:val="-2"/>
                <w:sz w:val="14"/>
                <w:szCs w:val="14"/>
              </w:rPr>
              <w:t>0</w:t>
            </w:r>
          </w:p>
        </w:tc>
      </w:tr>
      <w:tr w:rsidR="00AF46F5" w:rsidRPr="009F00FC" w14:paraId="2AB4DCF2" w14:textId="77777777" w:rsidTr="00A846B7">
        <w:trPr>
          <w:trHeight w:val="21"/>
        </w:trPr>
        <w:tc>
          <w:tcPr>
            <w:tcW w:w="1701" w:type="dxa"/>
            <w:shd w:val="clear" w:color="auto" w:fill="FFFFFF"/>
            <w:vAlign w:val="center"/>
          </w:tcPr>
          <w:p w14:paraId="7DA1DF8C" w14:textId="1314AA3E" w:rsidR="00AF46F5" w:rsidRPr="009F00FC" w:rsidRDefault="00AF46F5" w:rsidP="00AF46F5">
            <w:pPr>
              <w:spacing w:line="240" w:lineRule="auto"/>
              <w:jc w:val="both"/>
              <w:rPr>
                <w:rFonts w:ascii="Times New Roman" w:hAnsi="Times New Roman"/>
                <w:spacing w:val="-2"/>
                <w:sz w:val="14"/>
                <w:szCs w:val="14"/>
              </w:rPr>
            </w:pPr>
            <w:r w:rsidRPr="009F00FC">
              <w:rPr>
                <w:rFonts w:ascii="Times New Roman" w:hAnsi="Times New Roman"/>
                <w:b/>
                <w:bCs/>
                <w:sz w:val="14"/>
                <w:szCs w:val="14"/>
              </w:rPr>
              <w:t xml:space="preserve">Wydatki ogółem </w:t>
            </w:r>
          </w:p>
        </w:tc>
        <w:tc>
          <w:tcPr>
            <w:tcW w:w="680" w:type="dxa"/>
            <w:shd w:val="clear" w:color="auto" w:fill="FFFFFF"/>
          </w:tcPr>
          <w:p w14:paraId="0633F6B5" w14:textId="1AD3DB20" w:rsidR="00AF46F5" w:rsidRPr="009F00FC" w:rsidRDefault="00AF46F5" w:rsidP="00AF46F5">
            <w:pPr>
              <w:spacing w:line="240" w:lineRule="auto"/>
              <w:jc w:val="right"/>
              <w:rPr>
                <w:rFonts w:ascii="Times New Roman" w:hAnsi="Times New Roman"/>
                <w:b/>
                <w:bCs/>
                <w:spacing w:val="-2"/>
                <w:sz w:val="14"/>
                <w:szCs w:val="14"/>
              </w:rPr>
            </w:pPr>
            <w:r w:rsidRPr="009F00FC">
              <w:rPr>
                <w:rFonts w:ascii="Times New Roman" w:hAnsi="Times New Roman"/>
                <w:b/>
                <w:bCs/>
                <w:sz w:val="14"/>
                <w:szCs w:val="14"/>
              </w:rPr>
              <w:t>0</w:t>
            </w:r>
          </w:p>
        </w:tc>
        <w:tc>
          <w:tcPr>
            <w:tcW w:w="767" w:type="dxa"/>
            <w:shd w:val="clear" w:color="auto" w:fill="FFFFFF"/>
          </w:tcPr>
          <w:p w14:paraId="128C2EC3" w14:textId="4CD703C6" w:rsidR="00AF46F5" w:rsidRPr="009F00FC" w:rsidRDefault="00AF46F5" w:rsidP="00AF46F5">
            <w:pPr>
              <w:spacing w:line="240" w:lineRule="auto"/>
              <w:jc w:val="right"/>
              <w:rPr>
                <w:rFonts w:ascii="Times New Roman" w:hAnsi="Times New Roman"/>
                <w:b/>
                <w:bCs/>
                <w:spacing w:val="-2"/>
                <w:sz w:val="14"/>
                <w:szCs w:val="14"/>
              </w:rPr>
            </w:pPr>
            <w:r w:rsidRPr="009F00FC">
              <w:rPr>
                <w:rFonts w:ascii="Times New Roman" w:hAnsi="Times New Roman"/>
                <w:b/>
                <w:bCs/>
                <w:sz w:val="14"/>
                <w:szCs w:val="14"/>
              </w:rPr>
              <w:t>0</w:t>
            </w:r>
          </w:p>
        </w:tc>
        <w:tc>
          <w:tcPr>
            <w:tcW w:w="709" w:type="dxa"/>
            <w:shd w:val="clear" w:color="auto" w:fill="FFFFFF"/>
          </w:tcPr>
          <w:p w14:paraId="26EA9A60" w14:textId="56ED529F" w:rsidR="00AF46F5" w:rsidRPr="009F00FC" w:rsidRDefault="00AF46F5" w:rsidP="00AF46F5">
            <w:pPr>
              <w:spacing w:line="240" w:lineRule="auto"/>
              <w:jc w:val="right"/>
              <w:rPr>
                <w:rFonts w:ascii="Times New Roman" w:hAnsi="Times New Roman"/>
                <w:b/>
                <w:bCs/>
                <w:spacing w:val="-2"/>
                <w:sz w:val="14"/>
                <w:szCs w:val="14"/>
              </w:rPr>
            </w:pPr>
            <w:r w:rsidRPr="009F00FC">
              <w:rPr>
                <w:rFonts w:ascii="Times New Roman" w:hAnsi="Times New Roman"/>
                <w:b/>
                <w:bCs/>
                <w:sz w:val="14"/>
                <w:szCs w:val="14"/>
              </w:rPr>
              <w:t>0</w:t>
            </w:r>
          </w:p>
        </w:tc>
        <w:tc>
          <w:tcPr>
            <w:tcW w:w="709" w:type="dxa"/>
            <w:shd w:val="clear" w:color="auto" w:fill="FFFFFF"/>
          </w:tcPr>
          <w:p w14:paraId="11311CCF" w14:textId="77F475C1" w:rsidR="00AF46F5" w:rsidRPr="009F00FC" w:rsidRDefault="00AF46F5" w:rsidP="00AF46F5">
            <w:pPr>
              <w:spacing w:line="240" w:lineRule="auto"/>
              <w:jc w:val="right"/>
              <w:rPr>
                <w:rFonts w:ascii="Times New Roman" w:hAnsi="Times New Roman"/>
                <w:b/>
                <w:bCs/>
                <w:spacing w:val="-2"/>
                <w:sz w:val="14"/>
                <w:szCs w:val="14"/>
              </w:rPr>
            </w:pPr>
            <w:r w:rsidRPr="009F00FC">
              <w:rPr>
                <w:rFonts w:ascii="Times New Roman" w:hAnsi="Times New Roman"/>
                <w:b/>
                <w:bCs/>
                <w:sz w:val="14"/>
                <w:szCs w:val="14"/>
              </w:rPr>
              <w:t>0</w:t>
            </w:r>
          </w:p>
        </w:tc>
        <w:tc>
          <w:tcPr>
            <w:tcW w:w="708" w:type="dxa"/>
            <w:shd w:val="clear" w:color="auto" w:fill="FFFFFF"/>
          </w:tcPr>
          <w:p w14:paraId="242AF310" w14:textId="1D8ED9E5" w:rsidR="00AF46F5" w:rsidRPr="009F00FC" w:rsidRDefault="005650EF" w:rsidP="00AF46F5">
            <w:pPr>
              <w:spacing w:line="240" w:lineRule="auto"/>
              <w:jc w:val="right"/>
              <w:rPr>
                <w:rFonts w:ascii="Times New Roman" w:hAnsi="Times New Roman"/>
                <w:b/>
                <w:bCs/>
                <w:spacing w:val="-2"/>
                <w:sz w:val="14"/>
                <w:szCs w:val="14"/>
              </w:rPr>
            </w:pPr>
            <w:r>
              <w:rPr>
                <w:rFonts w:ascii="Times New Roman" w:hAnsi="Times New Roman"/>
                <w:b/>
                <w:bCs/>
                <w:sz w:val="14"/>
                <w:szCs w:val="14"/>
              </w:rPr>
              <w:t>4</w:t>
            </w:r>
            <w:r w:rsidR="00AF46F5">
              <w:rPr>
                <w:rFonts w:ascii="Times New Roman" w:hAnsi="Times New Roman"/>
                <w:b/>
                <w:bCs/>
                <w:sz w:val="14"/>
                <w:szCs w:val="14"/>
              </w:rPr>
              <w:t>,</w:t>
            </w:r>
            <w:r w:rsidR="0048721E">
              <w:rPr>
                <w:rFonts w:ascii="Times New Roman" w:hAnsi="Times New Roman"/>
                <w:b/>
                <w:bCs/>
                <w:sz w:val="14"/>
                <w:szCs w:val="14"/>
              </w:rPr>
              <w:t>604</w:t>
            </w:r>
          </w:p>
        </w:tc>
        <w:tc>
          <w:tcPr>
            <w:tcW w:w="709" w:type="dxa"/>
            <w:shd w:val="clear" w:color="auto" w:fill="FFFFFF"/>
          </w:tcPr>
          <w:p w14:paraId="1EBB79B1" w14:textId="44373692" w:rsidR="00AF46F5" w:rsidRPr="009F00FC" w:rsidRDefault="0048721E" w:rsidP="00AF46F5">
            <w:pPr>
              <w:spacing w:line="240" w:lineRule="auto"/>
              <w:jc w:val="right"/>
              <w:rPr>
                <w:rFonts w:ascii="Times New Roman" w:hAnsi="Times New Roman"/>
                <w:b/>
                <w:bCs/>
                <w:spacing w:val="-2"/>
                <w:sz w:val="14"/>
                <w:szCs w:val="14"/>
              </w:rPr>
            </w:pPr>
            <w:r>
              <w:rPr>
                <w:rFonts w:ascii="Times New Roman" w:hAnsi="Times New Roman"/>
                <w:b/>
                <w:bCs/>
                <w:spacing w:val="-2"/>
                <w:sz w:val="14"/>
                <w:szCs w:val="14"/>
              </w:rPr>
              <w:t>4,940</w:t>
            </w:r>
          </w:p>
        </w:tc>
        <w:tc>
          <w:tcPr>
            <w:tcW w:w="709" w:type="dxa"/>
            <w:shd w:val="clear" w:color="auto" w:fill="FFFFFF"/>
          </w:tcPr>
          <w:p w14:paraId="19383CB7" w14:textId="05752865" w:rsidR="00AF46F5" w:rsidRPr="009F00FC" w:rsidRDefault="00AF46F5" w:rsidP="00AF46F5">
            <w:pPr>
              <w:spacing w:line="240" w:lineRule="auto"/>
              <w:jc w:val="right"/>
              <w:rPr>
                <w:rFonts w:ascii="Times New Roman" w:hAnsi="Times New Roman"/>
                <w:b/>
                <w:bCs/>
                <w:spacing w:val="-2"/>
                <w:sz w:val="14"/>
                <w:szCs w:val="14"/>
              </w:rPr>
            </w:pPr>
            <w:r>
              <w:rPr>
                <w:rFonts w:ascii="Times New Roman" w:hAnsi="Times New Roman"/>
                <w:b/>
                <w:bCs/>
                <w:sz w:val="14"/>
                <w:szCs w:val="14"/>
              </w:rPr>
              <w:t>5,</w:t>
            </w:r>
            <w:r w:rsidR="0048721E">
              <w:rPr>
                <w:rFonts w:ascii="Times New Roman" w:hAnsi="Times New Roman"/>
                <w:b/>
                <w:bCs/>
                <w:sz w:val="14"/>
                <w:szCs w:val="14"/>
              </w:rPr>
              <w:t>192</w:t>
            </w:r>
          </w:p>
        </w:tc>
        <w:tc>
          <w:tcPr>
            <w:tcW w:w="850" w:type="dxa"/>
            <w:shd w:val="clear" w:color="auto" w:fill="FFFFFF"/>
          </w:tcPr>
          <w:p w14:paraId="1D7E01EA" w14:textId="3634618E" w:rsidR="00AF46F5" w:rsidRPr="009F00FC" w:rsidRDefault="00AF46F5" w:rsidP="00AF46F5">
            <w:pPr>
              <w:spacing w:line="240" w:lineRule="auto"/>
              <w:jc w:val="right"/>
              <w:rPr>
                <w:rFonts w:ascii="Times New Roman" w:hAnsi="Times New Roman"/>
                <w:b/>
                <w:bCs/>
                <w:spacing w:val="-2"/>
                <w:sz w:val="14"/>
                <w:szCs w:val="14"/>
              </w:rPr>
            </w:pPr>
            <w:r>
              <w:rPr>
                <w:rFonts w:ascii="Times New Roman" w:hAnsi="Times New Roman"/>
                <w:b/>
                <w:bCs/>
                <w:sz w:val="14"/>
                <w:szCs w:val="14"/>
              </w:rPr>
              <w:t>5,4</w:t>
            </w:r>
            <w:r w:rsidR="0048721E">
              <w:rPr>
                <w:rFonts w:ascii="Times New Roman" w:hAnsi="Times New Roman"/>
                <w:b/>
                <w:bCs/>
                <w:sz w:val="14"/>
                <w:szCs w:val="14"/>
              </w:rPr>
              <w:t>54</w:t>
            </w:r>
          </w:p>
        </w:tc>
        <w:tc>
          <w:tcPr>
            <w:tcW w:w="851" w:type="dxa"/>
            <w:shd w:val="clear" w:color="auto" w:fill="FFFFFF"/>
          </w:tcPr>
          <w:p w14:paraId="061C21CA" w14:textId="75C12C26" w:rsidR="00AF46F5" w:rsidRPr="009F00FC" w:rsidRDefault="00AF46F5" w:rsidP="00AF46F5">
            <w:pPr>
              <w:spacing w:line="240" w:lineRule="auto"/>
              <w:jc w:val="right"/>
              <w:rPr>
                <w:rFonts w:ascii="Times New Roman" w:hAnsi="Times New Roman"/>
                <w:b/>
                <w:bCs/>
                <w:spacing w:val="-2"/>
                <w:sz w:val="14"/>
                <w:szCs w:val="14"/>
              </w:rPr>
            </w:pPr>
            <w:r>
              <w:rPr>
                <w:rFonts w:ascii="Times New Roman" w:hAnsi="Times New Roman"/>
                <w:b/>
                <w:bCs/>
                <w:sz w:val="14"/>
                <w:szCs w:val="14"/>
              </w:rPr>
              <w:t>5,</w:t>
            </w:r>
            <w:r w:rsidR="0048721E">
              <w:rPr>
                <w:rFonts w:ascii="Times New Roman" w:hAnsi="Times New Roman"/>
                <w:b/>
                <w:bCs/>
                <w:sz w:val="14"/>
                <w:szCs w:val="14"/>
              </w:rPr>
              <w:t>727</w:t>
            </w:r>
          </w:p>
        </w:tc>
        <w:tc>
          <w:tcPr>
            <w:tcW w:w="850" w:type="dxa"/>
            <w:shd w:val="clear" w:color="auto" w:fill="FFFFFF"/>
          </w:tcPr>
          <w:p w14:paraId="0048E335" w14:textId="042AAF1E" w:rsidR="00AF46F5" w:rsidRPr="009F00FC" w:rsidRDefault="0048721E" w:rsidP="00AF46F5">
            <w:pPr>
              <w:spacing w:line="240" w:lineRule="auto"/>
              <w:jc w:val="right"/>
              <w:rPr>
                <w:rFonts w:ascii="Times New Roman" w:hAnsi="Times New Roman"/>
                <w:b/>
                <w:bCs/>
                <w:spacing w:val="-2"/>
                <w:sz w:val="14"/>
                <w:szCs w:val="14"/>
              </w:rPr>
            </w:pPr>
            <w:r>
              <w:rPr>
                <w:rFonts w:ascii="Times New Roman" w:hAnsi="Times New Roman"/>
                <w:b/>
                <w:bCs/>
                <w:spacing w:val="-2"/>
                <w:sz w:val="14"/>
                <w:szCs w:val="14"/>
              </w:rPr>
              <w:t>6,013</w:t>
            </w:r>
          </w:p>
        </w:tc>
        <w:tc>
          <w:tcPr>
            <w:tcW w:w="709" w:type="dxa"/>
            <w:shd w:val="clear" w:color="auto" w:fill="FFFFFF"/>
          </w:tcPr>
          <w:p w14:paraId="07410ACD" w14:textId="6F76ADC0" w:rsidR="00AF46F5" w:rsidRPr="009F00FC" w:rsidRDefault="0048721E" w:rsidP="00AF46F5">
            <w:pPr>
              <w:spacing w:line="240" w:lineRule="auto"/>
              <w:jc w:val="right"/>
              <w:rPr>
                <w:rFonts w:ascii="Times New Roman" w:hAnsi="Times New Roman"/>
                <w:b/>
                <w:bCs/>
                <w:spacing w:val="-2"/>
                <w:sz w:val="14"/>
                <w:szCs w:val="14"/>
              </w:rPr>
            </w:pPr>
            <w:r>
              <w:rPr>
                <w:rFonts w:ascii="Times New Roman" w:hAnsi="Times New Roman"/>
                <w:b/>
                <w:bCs/>
                <w:spacing w:val="-2"/>
                <w:sz w:val="14"/>
                <w:szCs w:val="14"/>
              </w:rPr>
              <w:t>6,313</w:t>
            </w:r>
          </w:p>
        </w:tc>
        <w:tc>
          <w:tcPr>
            <w:tcW w:w="992" w:type="dxa"/>
            <w:gridSpan w:val="2"/>
            <w:shd w:val="clear" w:color="auto" w:fill="FFFFFF"/>
          </w:tcPr>
          <w:p w14:paraId="654803D5" w14:textId="401F6A24" w:rsidR="00AF46F5" w:rsidRPr="009F00FC" w:rsidRDefault="005650EF" w:rsidP="00AF46F5">
            <w:pPr>
              <w:spacing w:line="240" w:lineRule="auto"/>
              <w:jc w:val="right"/>
              <w:rPr>
                <w:rFonts w:ascii="Times New Roman" w:hAnsi="Times New Roman"/>
                <w:b/>
                <w:bCs/>
                <w:spacing w:val="-2"/>
                <w:sz w:val="14"/>
                <w:szCs w:val="14"/>
              </w:rPr>
            </w:pPr>
            <w:r>
              <w:rPr>
                <w:rFonts w:ascii="Times New Roman" w:hAnsi="Times New Roman"/>
                <w:b/>
                <w:bCs/>
                <w:sz w:val="14"/>
                <w:szCs w:val="14"/>
              </w:rPr>
              <w:t>38</w:t>
            </w:r>
            <w:r w:rsidR="00AF46F5">
              <w:rPr>
                <w:rFonts w:ascii="Times New Roman" w:hAnsi="Times New Roman"/>
                <w:b/>
                <w:bCs/>
                <w:sz w:val="14"/>
                <w:szCs w:val="14"/>
              </w:rPr>
              <w:t>,</w:t>
            </w:r>
            <w:r w:rsidR="00544876">
              <w:rPr>
                <w:rFonts w:ascii="Times New Roman" w:hAnsi="Times New Roman"/>
                <w:b/>
                <w:bCs/>
                <w:sz w:val="14"/>
                <w:szCs w:val="14"/>
              </w:rPr>
              <w:t>243</w:t>
            </w:r>
          </w:p>
        </w:tc>
      </w:tr>
      <w:tr w:rsidR="00AF46F5" w:rsidRPr="009F00FC" w14:paraId="550102DF" w14:textId="77777777" w:rsidTr="00A846B7">
        <w:trPr>
          <w:trHeight w:val="21"/>
        </w:trPr>
        <w:tc>
          <w:tcPr>
            <w:tcW w:w="1701" w:type="dxa"/>
            <w:shd w:val="clear" w:color="auto" w:fill="FFFFFF"/>
            <w:vAlign w:val="center"/>
          </w:tcPr>
          <w:p w14:paraId="2C09897C" w14:textId="536E47DD" w:rsidR="00AF46F5" w:rsidRPr="009F00FC" w:rsidRDefault="00AF46F5" w:rsidP="00AF46F5">
            <w:pPr>
              <w:spacing w:line="240" w:lineRule="auto"/>
              <w:jc w:val="both"/>
              <w:rPr>
                <w:rFonts w:ascii="Times New Roman" w:hAnsi="Times New Roman"/>
                <w:spacing w:val="-2"/>
                <w:sz w:val="14"/>
                <w:szCs w:val="14"/>
              </w:rPr>
            </w:pPr>
            <w:r w:rsidRPr="009F00FC">
              <w:rPr>
                <w:rFonts w:ascii="Times New Roman" w:hAnsi="Times New Roman"/>
                <w:sz w:val="14"/>
                <w:szCs w:val="14"/>
              </w:rPr>
              <w:t xml:space="preserve">budżet państwa </w:t>
            </w:r>
          </w:p>
        </w:tc>
        <w:tc>
          <w:tcPr>
            <w:tcW w:w="680" w:type="dxa"/>
            <w:shd w:val="clear" w:color="auto" w:fill="FFFFFF"/>
            <w:vAlign w:val="center"/>
          </w:tcPr>
          <w:p w14:paraId="735BCAF9" w14:textId="48C7BB7B"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67" w:type="dxa"/>
            <w:shd w:val="clear" w:color="auto" w:fill="FFFFFF"/>
            <w:vAlign w:val="center"/>
          </w:tcPr>
          <w:p w14:paraId="23869ECE" w14:textId="2887B36A"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7E87117C" w14:textId="698776C6"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1EB6BB49" w14:textId="7856727C"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8" w:type="dxa"/>
            <w:shd w:val="clear" w:color="auto" w:fill="FFFFFF"/>
            <w:vAlign w:val="center"/>
          </w:tcPr>
          <w:p w14:paraId="633B8F19" w14:textId="4719CB61" w:rsidR="00AF46F5" w:rsidRPr="009F00FC" w:rsidRDefault="0048721E" w:rsidP="00AF46F5">
            <w:pPr>
              <w:spacing w:line="240" w:lineRule="auto"/>
              <w:jc w:val="right"/>
              <w:rPr>
                <w:rFonts w:ascii="Times New Roman" w:hAnsi="Times New Roman"/>
                <w:spacing w:val="-2"/>
                <w:sz w:val="14"/>
                <w:szCs w:val="14"/>
              </w:rPr>
            </w:pPr>
            <w:r>
              <w:rPr>
                <w:rFonts w:ascii="Times New Roman" w:hAnsi="Times New Roman"/>
                <w:sz w:val="14"/>
                <w:szCs w:val="14"/>
              </w:rPr>
              <w:t>4</w:t>
            </w:r>
            <w:r w:rsidR="00AF46F5">
              <w:rPr>
                <w:rFonts w:ascii="Times New Roman" w:hAnsi="Times New Roman"/>
                <w:sz w:val="14"/>
                <w:szCs w:val="14"/>
              </w:rPr>
              <w:t>,</w:t>
            </w:r>
            <w:r>
              <w:rPr>
                <w:rFonts w:ascii="Times New Roman" w:hAnsi="Times New Roman"/>
                <w:sz w:val="14"/>
                <w:szCs w:val="14"/>
              </w:rPr>
              <w:t>604</w:t>
            </w:r>
          </w:p>
        </w:tc>
        <w:tc>
          <w:tcPr>
            <w:tcW w:w="709" w:type="dxa"/>
            <w:shd w:val="clear" w:color="auto" w:fill="FFFFFF"/>
            <w:vAlign w:val="center"/>
          </w:tcPr>
          <w:p w14:paraId="7EED9908" w14:textId="31D06BD2" w:rsidR="00AF46F5" w:rsidRPr="009F00FC" w:rsidRDefault="0048721E" w:rsidP="00AF46F5">
            <w:pPr>
              <w:spacing w:line="240" w:lineRule="auto"/>
              <w:jc w:val="right"/>
              <w:rPr>
                <w:rFonts w:ascii="Times New Roman" w:hAnsi="Times New Roman"/>
                <w:spacing w:val="-2"/>
                <w:sz w:val="14"/>
                <w:szCs w:val="14"/>
              </w:rPr>
            </w:pPr>
            <w:r>
              <w:rPr>
                <w:rFonts w:ascii="Times New Roman" w:hAnsi="Times New Roman"/>
                <w:sz w:val="14"/>
                <w:szCs w:val="14"/>
              </w:rPr>
              <w:t>4</w:t>
            </w:r>
            <w:r w:rsidR="00AF46F5">
              <w:rPr>
                <w:rFonts w:ascii="Times New Roman" w:hAnsi="Times New Roman"/>
                <w:sz w:val="14"/>
                <w:szCs w:val="14"/>
              </w:rPr>
              <w:t>,</w:t>
            </w:r>
            <w:r>
              <w:rPr>
                <w:rFonts w:ascii="Times New Roman" w:hAnsi="Times New Roman"/>
                <w:sz w:val="14"/>
                <w:szCs w:val="14"/>
              </w:rPr>
              <w:t>940</w:t>
            </w:r>
          </w:p>
        </w:tc>
        <w:tc>
          <w:tcPr>
            <w:tcW w:w="709" w:type="dxa"/>
            <w:shd w:val="clear" w:color="auto" w:fill="FFFFFF"/>
            <w:vAlign w:val="center"/>
          </w:tcPr>
          <w:p w14:paraId="7C14B7C5" w14:textId="56419D44" w:rsidR="00AF46F5" w:rsidRPr="009F00FC" w:rsidRDefault="0048721E" w:rsidP="00AF46F5">
            <w:pPr>
              <w:spacing w:line="240" w:lineRule="auto"/>
              <w:jc w:val="right"/>
              <w:rPr>
                <w:rFonts w:ascii="Times New Roman" w:hAnsi="Times New Roman"/>
                <w:spacing w:val="-2"/>
                <w:sz w:val="14"/>
                <w:szCs w:val="14"/>
              </w:rPr>
            </w:pPr>
            <w:r>
              <w:rPr>
                <w:rFonts w:ascii="Times New Roman" w:hAnsi="Times New Roman"/>
                <w:spacing w:val="-2"/>
                <w:sz w:val="14"/>
                <w:szCs w:val="14"/>
              </w:rPr>
              <w:t>5,192</w:t>
            </w:r>
          </w:p>
        </w:tc>
        <w:tc>
          <w:tcPr>
            <w:tcW w:w="850" w:type="dxa"/>
            <w:shd w:val="clear" w:color="auto" w:fill="FFFFFF"/>
            <w:vAlign w:val="center"/>
          </w:tcPr>
          <w:p w14:paraId="41DB081D" w14:textId="2FB352CE" w:rsidR="00AF46F5" w:rsidRPr="009F00FC" w:rsidRDefault="0048721E" w:rsidP="00AF46F5">
            <w:pPr>
              <w:spacing w:line="240" w:lineRule="auto"/>
              <w:jc w:val="right"/>
              <w:rPr>
                <w:rFonts w:ascii="Times New Roman" w:hAnsi="Times New Roman"/>
                <w:spacing w:val="-2"/>
                <w:sz w:val="14"/>
                <w:szCs w:val="14"/>
              </w:rPr>
            </w:pPr>
            <w:r>
              <w:rPr>
                <w:rFonts w:ascii="Times New Roman" w:hAnsi="Times New Roman"/>
                <w:spacing w:val="-2"/>
                <w:sz w:val="14"/>
                <w:szCs w:val="14"/>
              </w:rPr>
              <w:t>5,454</w:t>
            </w:r>
          </w:p>
        </w:tc>
        <w:tc>
          <w:tcPr>
            <w:tcW w:w="851" w:type="dxa"/>
            <w:shd w:val="clear" w:color="auto" w:fill="FFFFFF"/>
            <w:vAlign w:val="center"/>
          </w:tcPr>
          <w:p w14:paraId="0AD30AA5" w14:textId="684DB75C" w:rsidR="00AF46F5" w:rsidRPr="009F00FC" w:rsidRDefault="00AF46F5" w:rsidP="00AF46F5">
            <w:pPr>
              <w:spacing w:line="240" w:lineRule="auto"/>
              <w:jc w:val="right"/>
              <w:rPr>
                <w:rFonts w:ascii="Times New Roman" w:hAnsi="Times New Roman"/>
                <w:spacing w:val="-2"/>
                <w:sz w:val="14"/>
                <w:szCs w:val="14"/>
              </w:rPr>
            </w:pPr>
            <w:r>
              <w:rPr>
                <w:rFonts w:ascii="Times New Roman" w:hAnsi="Times New Roman"/>
                <w:spacing w:val="-2"/>
                <w:sz w:val="14"/>
                <w:szCs w:val="14"/>
              </w:rPr>
              <w:t>5,</w:t>
            </w:r>
            <w:r w:rsidR="0048721E">
              <w:rPr>
                <w:rFonts w:ascii="Times New Roman" w:hAnsi="Times New Roman"/>
                <w:spacing w:val="-2"/>
                <w:sz w:val="14"/>
                <w:szCs w:val="14"/>
              </w:rPr>
              <w:t>727</w:t>
            </w:r>
          </w:p>
        </w:tc>
        <w:tc>
          <w:tcPr>
            <w:tcW w:w="850" w:type="dxa"/>
            <w:shd w:val="clear" w:color="auto" w:fill="FFFFFF"/>
            <w:vAlign w:val="center"/>
          </w:tcPr>
          <w:p w14:paraId="5D4C01B4" w14:textId="208B0433" w:rsidR="00AF46F5" w:rsidRPr="009F00FC" w:rsidRDefault="0048721E" w:rsidP="00AF46F5">
            <w:pPr>
              <w:spacing w:line="240" w:lineRule="auto"/>
              <w:jc w:val="right"/>
              <w:rPr>
                <w:rFonts w:ascii="Times New Roman" w:hAnsi="Times New Roman"/>
                <w:spacing w:val="-2"/>
                <w:sz w:val="14"/>
                <w:szCs w:val="14"/>
              </w:rPr>
            </w:pPr>
            <w:r>
              <w:rPr>
                <w:rFonts w:ascii="Times New Roman" w:hAnsi="Times New Roman"/>
                <w:spacing w:val="-2"/>
                <w:sz w:val="14"/>
                <w:szCs w:val="14"/>
              </w:rPr>
              <w:t>6,013</w:t>
            </w:r>
          </w:p>
        </w:tc>
        <w:tc>
          <w:tcPr>
            <w:tcW w:w="709" w:type="dxa"/>
            <w:shd w:val="clear" w:color="auto" w:fill="FFFFFF"/>
            <w:vAlign w:val="center"/>
          </w:tcPr>
          <w:p w14:paraId="47EA4536" w14:textId="223A6CB3" w:rsidR="00AF46F5" w:rsidRPr="009F00FC" w:rsidRDefault="0048721E" w:rsidP="00AF46F5">
            <w:pPr>
              <w:spacing w:line="240" w:lineRule="auto"/>
              <w:jc w:val="right"/>
              <w:rPr>
                <w:rFonts w:ascii="Times New Roman" w:hAnsi="Times New Roman"/>
                <w:spacing w:val="-2"/>
                <w:sz w:val="14"/>
                <w:szCs w:val="14"/>
              </w:rPr>
            </w:pPr>
            <w:r>
              <w:rPr>
                <w:rFonts w:ascii="Times New Roman" w:hAnsi="Times New Roman"/>
                <w:spacing w:val="-2"/>
                <w:sz w:val="14"/>
                <w:szCs w:val="14"/>
              </w:rPr>
              <w:t>6,313</w:t>
            </w:r>
          </w:p>
        </w:tc>
        <w:tc>
          <w:tcPr>
            <w:tcW w:w="992" w:type="dxa"/>
            <w:gridSpan w:val="2"/>
            <w:shd w:val="clear" w:color="auto" w:fill="FFFFFF"/>
            <w:vAlign w:val="center"/>
          </w:tcPr>
          <w:p w14:paraId="016DF4E6" w14:textId="06044123" w:rsidR="00AF46F5" w:rsidRPr="009F00FC" w:rsidRDefault="005650EF" w:rsidP="00AF46F5">
            <w:pPr>
              <w:spacing w:line="240" w:lineRule="auto"/>
              <w:jc w:val="right"/>
              <w:rPr>
                <w:rFonts w:ascii="Times New Roman" w:hAnsi="Times New Roman"/>
                <w:spacing w:val="-2"/>
                <w:sz w:val="14"/>
                <w:szCs w:val="14"/>
              </w:rPr>
            </w:pPr>
            <w:r>
              <w:rPr>
                <w:rFonts w:ascii="Times New Roman" w:hAnsi="Times New Roman"/>
                <w:sz w:val="14"/>
                <w:szCs w:val="14"/>
              </w:rPr>
              <w:t>38</w:t>
            </w:r>
            <w:r w:rsidR="00AF46F5">
              <w:rPr>
                <w:rFonts w:ascii="Times New Roman" w:hAnsi="Times New Roman"/>
                <w:sz w:val="14"/>
                <w:szCs w:val="14"/>
              </w:rPr>
              <w:t>,</w:t>
            </w:r>
            <w:r w:rsidR="0048721E">
              <w:rPr>
                <w:rFonts w:ascii="Times New Roman" w:hAnsi="Times New Roman"/>
                <w:sz w:val="14"/>
                <w:szCs w:val="14"/>
              </w:rPr>
              <w:t>24</w:t>
            </w:r>
            <w:r w:rsidR="00544876">
              <w:rPr>
                <w:rFonts w:ascii="Times New Roman" w:hAnsi="Times New Roman"/>
                <w:sz w:val="14"/>
                <w:szCs w:val="14"/>
              </w:rPr>
              <w:t>3</w:t>
            </w:r>
          </w:p>
        </w:tc>
      </w:tr>
      <w:tr w:rsidR="00AF46F5" w:rsidRPr="009F00FC" w14:paraId="63E4C483" w14:textId="77777777" w:rsidTr="00A846B7">
        <w:trPr>
          <w:trHeight w:val="21"/>
        </w:trPr>
        <w:tc>
          <w:tcPr>
            <w:tcW w:w="1701" w:type="dxa"/>
            <w:shd w:val="clear" w:color="auto" w:fill="FFFFFF"/>
            <w:vAlign w:val="center"/>
          </w:tcPr>
          <w:p w14:paraId="7F78AF54" w14:textId="3170417D" w:rsidR="00AF46F5" w:rsidRPr="009F00FC" w:rsidRDefault="00AF46F5" w:rsidP="00AF46F5">
            <w:pPr>
              <w:spacing w:line="240" w:lineRule="auto"/>
              <w:jc w:val="both"/>
              <w:rPr>
                <w:rFonts w:ascii="Times New Roman" w:hAnsi="Times New Roman"/>
                <w:spacing w:val="-2"/>
                <w:sz w:val="14"/>
                <w:szCs w:val="14"/>
              </w:rPr>
            </w:pPr>
            <w:r w:rsidRPr="009F00FC">
              <w:rPr>
                <w:rFonts w:ascii="Times New Roman" w:hAnsi="Times New Roman"/>
                <w:sz w:val="14"/>
                <w:szCs w:val="14"/>
              </w:rPr>
              <w:t>NFOŚiGW</w:t>
            </w:r>
          </w:p>
        </w:tc>
        <w:tc>
          <w:tcPr>
            <w:tcW w:w="680" w:type="dxa"/>
            <w:shd w:val="clear" w:color="auto" w:fill="FFFFFF"/>
            <w:vAlign w:val="center"/>
          </w:tcPr>
          <w:p w14:paraId="00084575" w14:textId="3A8D3027"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67" w:type="dxa"/>
            <w:shd w:val="clear" w:color="auto" w:fill="FFFFFF"/>
            <w:vAlign w:val="center"/>
          </w:tcPr>
          <w:p w14:paraId="585D42B7" w14:textId="18491AB8"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0CD53C94" w14:textId="0CE4820B"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6B81AF90" w14:textId="2772E52D"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8" w:type="dxa"/>
            <w:shd w:val="clear" w:color="auto" w:fill="FFFFFF"/>
            <w:vAlign w:val="center"/>
          </w:tcPr>
          <w:p w14:paraId="6939112F" w14:textId="1A29692A" w:rsidR="00AF46F5" w:rsidRPr="009F00FC" w:rsidRDefault="005650EF" w:rsidP="00AF46F5">
            <w:pPr>
              <w:spacing w:line="240" w:lineRule="auto"/>
              <w:jc w:val="right"/>
              <w:rPr>
                <w:rFonts w:ascii="Times New Roman" w:hAnsi="Times New Roman"/>
                <w:spacing w:val="-2"/>
                <w:sz w:val="14"/>
                <w:szCs w:val="14"/>
              </w:rPr>
            </w:pPr>
            <w:r>
              <w:rPr>
                <w:rFonts w:ascii="Times New Roman" w:hAnsi="Times New Roman"/>
                <w:sz w:val="14"/>
                <w:szCs w:val="14"/>
              </w:rPr>
              <w:t>0</w:t>
            </w:r>
          </w:p>
        </w:tc>
        <w:tc>
          <w:tcPr>
            <w:tcW w:w="709" w:type="dxa"/>
            <w:shd w:val="clear" w:color="auto" w:fill="FFFFFF"/>
            <w:vAlign w:val="center"/>
          </w:tcPr>
          <w:p w14:paraId="4D552B3D" w14:textId="75104D28"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5768A3F7" w14:textId="11491265"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0" w:type="dxa"/>
            <w:shd w:val="clear" w:color="auto" w:fill="FFFFFF"/>
            <w:vAlign w:val="center"/>
          </w:tcPr>
          <w:p w14:paraId="64672EA5" w14:textId="12A15EC8"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1" w:type="dxa"/>
            <w:shd w:val="clear" w:color="auto" w:fill="FFFFFF"/>
            <w:vAlign w:val="center"/>
          </w:tcPr>
          <w:p w14:paraId="657549B4" w14:textId="19E8478D"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0" w:type="dxa"/>
            <w:shd w:val="clear" w:color="auto" w:fill="FFFFFF"/>
            <w:vAlign w:val="center"/>
          </w:tcPr>
          <w:p w14:paraId="5F996F75" w14:textId="41490A48"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1C55B904" w14:textId="176F170A"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992" w:type="dxa"/>
            <w:gridSpan w:val="2"/>
            <w:shd w:val="clear" w:color="auto" w:fill="FFFFFF"/>
            <w:vAlign w:val="center"/>
          </w:tcPr>
          <w:p w14:paraId="1FA79C4E" w14:textId="7CF0F447" w:rsidR="00AF46F5" w:rsidRPr="009F00FC" w:rsidRDefault="005650EF" w:rsidP="00AF46F5">
            <w:pPr>
              <w:spacing w:line="240" w:lineRule="auto"/>
              <w:jc w:val="right"/>
              <w:rPr>
                <w:rFonts w:ascii="Times New Roman" w:hAnsi="Times New Roman"/>
                <w:spacing w:val="-2"/>
                <w:sz w:val="14"/>
                <w:szCs w:val="14"/>
              </w:rPr>
            </w:pPr>
            <w:r>
              <w:rPr>
                <w:rFonts w:ascii="Times New Roman" w:hAnsi="Times New Roman"/>
                <w:sz w:val="14"/>
                <w:szCs w:val="14"/>
              </w:rPr>
              <w:t>0</w:t>
            </w:r>
          </w:p>
        </w:tc>
      </w:tr>
      <w:tr w:rsidR="00AF46F5" w:rsidRPr="009F00FC" w14:paraId="58DA498A" w14:textId="77777777" w:rsidTr="00A846B7">
        <w:trPr>
          <w:trHeight w:val="21"/>
        </w:trPr>
        <w:tc>
          <w:tcPr>
            <w:tcW w:w="1701" w:type="dxa"/>
            <w:shd w:val="clear" w:color="auto" w:fill="FFFFFF"/>
            <w:vAlign w:val="center"/>
          </w:tcPr>
          <w:p w14:paraId="3192B94B" w14:textId="557D168B" w:rsidR="00AF46F5" w:rsidRPr="009F00FC" w:rsidRDefault="00AF46F5" w:rsidP="00AF46F5">
            <w:pPr>
              <w:spacing w:line="240" w:lineRule="auto"/>
              <w:jc w:val="both"/>
              <w:rPr>
                <w:rFonts w:ascii="Times New Roman" w:hAnsi="Times New Roman"/>
                <w:spacing w:val="-2"/>
                <w:sz w:val="14"/>
                <w:szCs w:val="14"/>
              </w:rPr>
            </w:pPr>
            <w:r w:rsidRPr="009F00FC">
              <w:rPr>
                <w:rFonts w:ascii="Times New Roman" w:hAnsi="Times New Roman"/>
                <w:sz w:val="14"/>
                <w:szCs w:val="14"/>
              </w:rPr>
              <w:t>JST</w:t>
            </w:r>
          </w:p>
        </w:tc>
        <w:tc>
          <w:tcPr>
            <w:tcW w:w="680" w:type="dxa"/>
            <w:shd w:val="clear" w:color="auto" w:fill="FFFFFF"/>
            <w:vAlign w:val="center"/>
          </w:tcPr>
          <w:p w14:paraId="4CF9EE8B" w14:textId="20279D5E"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67" w:type="dxa"/>
            <w:shd w:val="clear" w:color="auto" w:fill="FFFFFF"/>
            <w:vAlign w:val="center"/>
          </w:tcPr>
          <w:p w14:paraId="2B411ABF" w14:textId="391EF4C2"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7BABD977" w14:textId="355D99FE"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0AC2A065" w14:textId="7DCEB900"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8" w:type="dxa"/>
            <w:shd w:val="clear" w:color="auto" w:fill="FFFFFF"/>
            <w:vAlign w:val="center"/>
          </w:tcPr>
          <w:p w14:paraId="67900766" w14:textId="48D79F09"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1B78C38D" w14:textId="0D6CF065"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02F2B67E" w14:textId="3B535754"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0" w:type="dxa"/>
            <w:shd w:val="clear" w:color="auto" w:fill="FFFFFF"/>
            <w:vAlign w:val="center"/>
          </w:tcPr>
          <w:p w14:paraId="344FB114" w14:textId="53BDC7A4"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1" w:type="dxa"/>
            <w:shd w:val="clear" w:color="auto" w:fill="FFFFFF"/>
            <w:vAlign w:val="center"/>
          </w:tcPr>
          <w:p w14:paraId="704913AC" w14:textId="7F0D9B46"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850" w:type="dxa"/>
            <w:shd w:val="clear" w:color="auto" w:fill="FFFFFF"/>
            <w:vAlign w:val="center"/>
          </w:tcPr>
          <w:p w14:paraId="3E84A24C" w14:textId="2A1C47B8"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709" w:type="dxa"/>
            <w:shd w:val="clear" w:color="auto" w:fill="FFFFFF"/>
            <w:vAlign w:val="center"/>
          </w:tcPr>
          <w:p w14:paraId="01531E59" w14:textId="1BD39C59"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c>
          <w:tcPr>
            <w:tcW w:w="992" w:type="dxa"/>
            <w:gridSpan w:val="2"/>
            <w:shd w:val="clear" w:color="auto" w:fill="FFFFFF"/>
            <w:vAlign w:val="center"/>
          </w:tcPr>
          <w:p w14:paraId="6CBFDC8C" w14:textId="7178C1E8" w:rsidR="00AF46F5" w:rsidRPr="009F00FC" w:rsidRDefault="00AF46F5" w:rsidP="00AF46F5">
            <w:pPr>
              <w:spacing w:line="240" w:lineRule="auto"/>
              <w:jc w:val="right"/>
              <w:rPr>
                <w:rFonts w:ascii="Times New Roman" w:hAnsi="Times New Roman"/>
                <w:spacing w:val="-2"/>
                <w:sz w:val="14"/>
                <w:szCs w:val="14"/>
              </w:rPr>
            </w:pPr>
            <w:r w:rsidRPr="009F00FC">
              <w:rPr>
                <w:rFonts w:ascii="Times New Roman" w:hAnsi="Times New Roman"/>
                <w:sz w:val="14"/>
                <w:szCs w:val="14"/>
              </w:rPr>
              <w:t>0</w:t>
            </w:r>
          </w:p>
        </w:tc>
      </w:tr>
      <w:tr w:rsidR="00AF46F5" w:rsidRPr="009F00FC" w14:paraId="1FCC177D" w14:textId="77777777" w:rsidTr="00A846B7">
        <w:trPr>
          <w:trHeight w:val="21"/>
        </w:trPr>
        <w:tc>
          <w:tcPr>
            <w:tcW w:w="1701" w:type="dxa"/>
            <w:shd w:val="clear" w:color="auto" w:fill="FFFFFF"/>
            <w:vAlign w:val="center"/>
          </w:tcPr>
          <w:p w14:paraId="4A58DF0C" w14:textId="5898712C" w:rsidR="00AF46F5" w:rsidRPr="009F00FC" w:rsidRDefault="00AF46F5" w:rsidP="00AF46F5">
            <w:pPr>
              <w:spacing w:line="240" w:lineRule="auto"/>
              <w:jc w:val="both"/>
              <w:rPr>
                <w:rFonts w:ascii="Times New Roman" w:hAnsi="Times New Roman"/>
                <w:spacing w:val="-2"/>
                <w:sz w:val="14"/>
                <w:szCs w:val="14"/>
              </w:rPr>
            </w:pPr>
            <w:r w:rsidRPr="009F00FC">
              <w:rPr>
                <w:rFonts w:ascii="Times New Roman" w:hAnsi="Times New Roman"/>
                <w:b/>
                <w:bCs/>
                <w:sz w:val="14"/>
                <w:szCs w:val="14"/>
              </w:rPr>
              <w:t xml:space="preserve">Saldo ogółem </w:t>
            </w:r>
          </w:p>
        </w:tc>
        <w:tc>
          <w:tcPr>
            <w:tcW w:w="680" w:type="dxa"/>
            <w:shd w:val="clear" w:color="auto" w:fill="FFFFFF"/>
            <w:vAlign w:val="center"/>
          </w:tcPr>
          <w:p w14:paraId="78020BE1" w14:textId="6B3A869D" w:rsidR="00AF46F5" w:rsidRPr="009F00FC" w:rsidRDefault="00AF46F5" w:rsidP="00AF46F5">
            <w:pPr>
              <w:spacing w:line="240" w:lineRule="auto"/>
              <w:jc w:val="right"/>
              <w:rPr>
                <w:rFonts w:ascii="Times New Roman" w:hAnsi="Times New Roman"/>
                <w:b/>
                <w:bCs/>
                <w:sz w:val="14"/>
                <w:szCs w:val="14"/>
              </w:rPr>
            </w:pPr>
            <w:r w:rsidRPr="009F00FC">
              <w:rPr>
                <w:rFonts w:ascii="Times New Roman" w:hAnsi="Times New Roman"/>
                <w:b/>
                <w:bCs/>
                <w:sz w:val="14"/>
                <w:szCs w:val="14"/>
              </w:rPr>
              <w:t>0</w:t>
            </w:r>
          </w:p>
        </w:tc>
        <w:tc>
          <w:tcPr>
            <w:tcW w:w="767" w:type="dxa"/>
            <w:shd w:val="clear" w:color="auto" w:fill="FFFFFF"/>
            <w:vAlign w:val="center"/>
          </w:tcPr>
          <w:p w14:paraId="018EB106" w14:textId="56FBA930" w:rsidR="00AF46F5" w:rsidRPr="009F00FC" w:rsidRDefault="00AF46F5" w:rsidP="00AF46F5">
            <w:pPr>
              <w:spacing w:line="240" w:lineRule="auto"/>
              <w:jc w:val="right"/>
              <w:rPr>
                <w:rFonts w:ascii="Times New Roman" w:hAnsi="Times New Roman"/>
                <w:b/>
                <w:bCs/>
                <w:sz w:val="14"/>
                <w:szCs w:val="14"/>
              </w:rPr>
            </w:pPr>
            <w:r w:rsidRPr="009F00FC">
              <w:rPr>
                <w:rFonts w:ascii="Times New Roman" w:hAnsi="Times New Roman"/>
                <w:b/>
                <w:bCs/>
                <w:sz w:val="14"/>
                <w:szCs w:val="14"/>
              </w:rPr>
              <w:t>0</w:t>
            </w:r>
          </w:p>
        </w:tc>
        <w:tc>
          <w:tcPr>
            <w:tcW w:w="709" w:type="dxa"/>
            <w:shd w:val="clear" w:color="auto" w:fill="FFFFFF"/>
            <w:vAlign w:val="center"/>
          </w:tcPr>
          <w:p w14:paraId="5A29F770" w14:textId="62E96F60" w:rsidR="00AF46F5" w:rsidRPr="009F00FC" w:rsidRDefault="00AF46F5" w:rsidP="00AF46F5">
            <w:pPr>
              <w:spacing w:line="240" w:lineRule="auto"/>
              <w:jc w:val="right"/>
              <w:rPr>
                <w:rFonts w:ascii="Times New Roman" w:hAnsi="Times New Roman"/>
                <w:b/>
                <w:bCs/>
                <w:sz w:val="14"/>
                <w:szCs w:val="14"/>
              </w:rPr>
            </w:pPr>
            <w:r w:rsidRPr="009F00FC">
              <w:rPr>
                <w:rFonts w:ascii="Times New Roman" w:hAnsi="Times New Roman"/>
                <w:b/>
                <w:bCs/>
                <w:sz w:val="14"/>
                <w:szCs w:val="14"/>
              </w:rPr>
              <w:t>0</w:t>
            </w:r>
          </w:p>
        </w:tc>
        <w:tc>
          <w:tcPr>
            <w:tcW w:w="709" w:type="dxa"/>
            <w:shd w:val="clear" w:color="auto" w:fill="FFFFFF"/>
            <w:vAlign w:val="center"/>
          </w:tcPr>
          <w:p w14:paraId="17066FBD" w14:textId="7E9C240A" w:rsidR="00AF46F5" w:rsidRPr="009F00FC" w:rsidRDefault="00AF46F5" w:rsidP="00AF46F5">
            <w:pPr>
              <w:spacing w:line="240" w:lineRule="auto"/>
              <w:jc w:val="right"/>
              <w:rPr>
                <w:rFonts w:ascii="Times New Roman" w:hAnsi="Times New Roman"/>
                <w:b/>
                <w:bCs/>
                <w:sz w:val="14"/>
                <w:szCs w:val="14"/>
              </w:rPr>
            </w:pPr>
            <w:r w:rsidRPr="009F00FC">
              <w:rPr>
                <w:rFonts w:ascii="Times New Roman" w:hAnsi="Times New Roman"/>
                <w:b/>
                <w:bCs/>
                <w:sz w:val="14"/>
                <w:szCs w:val="14"/>
              </w:rPr>
              <w:t>0</w:t>
            </w:r>
          </w:p>
        </w:tc>
        <w:tc>
          <w:tcPr>
            <w:tcW w:w="708" w:type="dxa"/>
            <w:shd w:val="clear" w:color="auto" w:fill="FFFFFF"/>
            <w:vAlign w:val="center"/>
          </w:tcPr>
          <w:p w14:paraId="6CF961C0" w14:textId="30C3F018"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w:t>
            </w:r>
            <w:r w:rsidR="005650EF">
              <w:rPr>
                <w:rFonts w:ascii="Times New Roman" w:hAnsi="Times New Roman"/>
                <w:b/>
                <w:bCs/>
                <w:sz w:val="14"/>
                <w:szCs w:val="14"/>
              </w:rPr>
              <w:t>2</w:t>
            </w:r>
            <w:r w:rsidRPr="009F00FC">
              <w:rPr>
                <w:rFonts w:ascii="Times New Roman" w:hAnsi="Times New Roman"/>
                <w:b/>
                <w:bCs/>
                <w:sz w:val="14"/>
                <w:szCs w:val="14"/>
              </w:rPr>
              <w:t>,</w:t>
            </w:r>
            <w:r w:rsidR="003A0D2B">
              <w:rPr>
                <w:rFonts w:ascii="Times New Roman" w:hAnsi="Times New Roman"/>
                <w:b/>
                <w:bCs/>
                <w:sz w:val="14"/>
                <w:szCs w:val="14"/>
              </w:rPr>
              <w:t>286</w:t>
            </w:r>
          </w:p>
        </w:tc>
        <w:tc>
          <w:tcPr>
            <w:tcW w:w="709" w:type="dxa"/>
            <w:shd w:val="clear" w:color="auto" w:fill="FFFFFF"/>
            <w:vAlign w:val="center"/>
          </w:tcPr>
          <w:p w14:paraId="3627F684" w14:textId="7DC59028"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w:t>
            </w:r>
            <w:r w:rsidR="00684149">
              <w:rPr>
                <w:rFonts w:ascii="Times New Roman" w:hAnsi="Times New Roman"/>
                <w:b/>
                <w:bCs/>
                <w:sz w:val="14"/>
                <w:szCs w:val="14"/>
              </w:rPr>
              <w:t>4</w:t>
            </w:r>
            <w:r>
              <w:rPr>
                <w:rFonts w:ascii="Times New Roman" w:hAnsi="Times New Roman"/>
                <w:b/>
                <w:bCs/>
                <w:sz w:val="14"/>
                <w:szCs w:val="14"/>
              </w:rPr>
              <w:t>,</w:t>
            </w:r>
            <w:r w:rsidR="00684149">
              <w:rPr>
                <w:rFonts w:ascii="Times New Roman" w:hAnsi="Times New Roman"/>
                <w:b/>
                <w:bCs/>
                <w:sz w:val="14"/>
                <w:szCs w:val="14"/>
              </w:rPr>
              <w:t>850</w:t>
            </w:r>
          </w:p>
        </w:tc>
        <w:tc>
          <w:tcPr>
            <w:tcW w:w="709" w:type="dxa"/>
            <w:shd w:val="clear" w:color="auto" w:fill="FFFFFF"/>
            <w:vAlign w:val="center"/>
          </w:tcPr>
          <w:p w14:paraId="3628F1DB" w14:textId="217A8FB7"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-5,</w:t>
            </w:r>
            <w:r w:rsidR="00684149">
              <w:rPr>
                <w:rFonts w:ascii="Times New Roman" w:hAnsi="Times New Roman"/>
                <w:b/>
                <w:bCs/>
                <w:sz w:val="14"/>
                <w:szCs w:val="14"/>
              </w:rPr>
              <w:t>102</w:t>
            </w:r>
          </w:p>
        </w:tc>
        <w:tc>
          <w:tcPr>
            <w:tcW w:w="850" w:type="dxa"/>
            <w:shd w:val="clear" w:color="auto" w:fill="FFFFFF"/>
            <w:vAlign w:val="center"/>
          </w:tcPr>
          <w:p w14:paraId="5BD33879" w14:textId="4B754AEF"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-5,</w:t>
            </w:r>
            <w:r w:rsidR="00684149">
              <w:rPr>
                <w:rFonts w:ascii="Times New Roman" w:hAnsi="Times New Roman"/>
                <w:b/>
                <w:bCs/>
                <w:sz w:val="14"/>
                <w:szCs w:val="14"/>
              </w:rPr>
              <w:t>364</w:t>
            </w:r>
          </w:p>
        </w:tc>
        <w:tc>
          <w:tcPr>
            <w:tcW w:w="851" w:type="dxa"/>
            <w:shd w:val="clear" w:color="auto" w:fill="FFFFFF"/>
            <w:vAlign w:val="center"/>
          </w:tcPr>
          <w:p w14:paraId="512A5299" w14:textId="33F3FFFE"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-5,</w:t>
            </w:r>
            <w:r w:rsidR="00684149">
              <w:rPr>
                <w:rFonts w:ascii="Times New Roman" w:hAnsi="Times New Roman"/>
                <w:b/>
                <w:bCs/>
                <w:sz w:val="14"/>
                <w:szCs w:val="14"/>
              </w:rPr>
              <w:t>637</w:t>
            </w:r>
          </w:p>
        </w:tc>
        <w:tc>
          <w:tcPr>
            <w:tcW w:w="850" w:type="dxa"/>
            <w:shd w:val="clear" w:color="auto" w:fill="FFFFFF"/>
            <w:vAlign w:val="center"/>
          </w:tcPr>
          <w:p w14:paraId="5FAF8CD9" w14:textId="55FEE516"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-5,</w:t>
            </w:r>
            <w:r w:rsidR="00684149">
              <w:rPr>
                <w:rFonts w:ascii="Times New Roman" w:hAnsi="Times New Roman"/>
                <w:b/>
                <w:bCs/>
                <w:sz w:val="14"/>
                <w:szCs w:val="14"/>
              </w:rPr>
              <w:t>923</w:t>
            </w:r>
          </w:p>
        </w:tc>
        <w:tc>
          <w:tcPr>
            <w:tcW w:w="709" w:type="dxa"/>
            <w:shd w:val="clear" w:color="auto" w:fill="FFFFFF"/>
            <w:vAlign w:val="center"/>
          </w:tcPr>
          <w:p w14:paraId="6CBB55CB" w14:textId="0A497BED"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w:t>
            </w:r>
            <w:r w:rsidR="00684149">
              <w:rPr>
                <w:rFonts w:ascii="Times New Roman" w:hAnsi="Times New Roman"/>
                <w:b/>
                <w:bCs/>
                <w:sz w:val="14"/>
                <w:szCs w:val="14"/>
              </w:rPr>
              <w:t>6,223</w:t>
            </w:r>
          </w:p>
        </w:tc>
        <w:tc>
          <w:tcPr>
            <w:tcW w:w="992" w:type="dxa"/>
            <w:gridSpan w:val="2"/>
            <w:shd w:val="clear" w:color="auto" w:fill="FFFFFF"/>
            <w:vAlign w:val="center"/>
          </w:tcPr>
          <w:p w14:paraId="69D73B57" w14:textId="79D17E78" w:rsidR="00AF46F5" w:rsidRPr="009F00FC" w:rsidRDefault="00AF46F5" w:rsidP="00AF46F5">
            <w:pPr>
              <w:spacing w:line="240" w:lineRule="auto"/>
              <w:jc w:val="right"/>
              <w:rPr>
                <w:rFonts w:ascii="Times New Roman" w:hAnsi="Times New Roman"/>
                <w:b/>
                <w:bCs/>
                <w:sz w:val="14"/>
                <w:szCs w:val="14"/>
              </w:rPr>
            </w:pPr>
            <w:r>
              <w:rPr>
                <w:rFonts w:ascii="Times New Roman" w:hAnsi="Times New Roman"/>
                <w:b/>
                <w:bCs/>
                <w:sz w:val="14"/>
                <w:szCs w:val="14"/>
              </w:rPr>
              <w:t>-</w:t>
            </w:r>
            <w:r w:rsidR="00FC1CC5">
              <w:rPr>
                <w:rFonts w:ascii="Times New Roman" w:hAnsi="Times New Roman"/>
                <w:b/>
                <w:bCs/>
                <w:sz w:val="14"/>
                <w:szCs w:val="14"/>
              </w:rPr>
              <w:t>35,</w:t>
            </w:r>
            <w:r w:rsidR="00684149">
              <w:rPr>
                <w:rFonts w:ascii="Times New Roman" w:hAnsi="Times New Roman"/>
                <w:b/>
                <w:bCs/>
                <w:sz w:val="14"/>
                <w:szCs w:val="14"/>
              </w:rPr>
              <w:t>385</w:t>
            </w:r>
          </w:p>
        </w:tc>
      </w:tr>
      <w:tr w:rsidR="005343D8" w:rsidRPr="009F00FC" w14:paraId="0753BF94" w14:textId="77777777" w:rsidTr="00A846B7">
        <w:trPr>
          <w:trHeight w:val="21"/>
        </w:trPr>
        <w:tc>
          <w:tcPr>
            <w:tcW w:w="1701" w:type="dxa"/>
            <w:shd w:val="clear" w:color="auto" w:fill="FFFFFF"/>
            <w:vAlign w:val="center"/>
          </w:tcPr>
          <w:p w14:paraId="2B0F6BAE" w14:textId="74E12763" w:rsidR="005343D8" w:rsidRPr="009F00FC" w:rsidRDefault="005343D8" w:rsidP="005343D8">
            <w:pPr>
              <w:spacing w:line="240" w:lineRule="auto"/>
              <w:jc w:val="both"/>
              <w:rPr>
                <w:rFonts w:ascii="Times New Roman" w:hAnsi="Times New Roman"/>
                <w:sz w:val="14"/>
                <w:szCs w:val="14"/>
              </w:rPr>
            </w:pPr>
            <w:r w:rsidRPr="009F00FC">
              <w:rPr>
                <w:rFonts w:ascii="Times New Roman" w:hAnsi="Times New Roman"/>
                <w:sz w:val="14"/>
                <w:szCs w:val="14"/>
              </w:rPr>
              <w:t>budżet państwa</w:t>
            </w:r>
          </w:p>
        </w:tc>
        <w:tc>
          <w:tcPr>
            <w:tcW w:w="680" w:type="dxa"/>
            <w:shd w:val="clear" w:color="auto" w:fill="FFFFFF"/>
            <w:vAlign w:val="center"/>
          </w:tcPr>
          <w:p w14:paraId="454CE277" w14:textId="50479508" w:rsidR="005343D8" w:rsidRPr="009F00FC" w:rsidRDefault="005343D8" w:rsidP="005343D8">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67" w:type="dxa"/>
            <w:shd w:val="clear" w:color="auto" w:fill="FFFFFF"/>
            <w:vAlign w:val="center"/>
          </w:tcPr>
          <w:p w14:paraId="3198BDD5" w14:textId="1C8CE510" w:rsidR="005343D8" w:rsidRPr="009F00FC" w:rsidRDefault="005343D8" w:rsidP="005343D8">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4BB75C9C" w14:textId="3062A85E" w:rsidR="005343D8" w:rsidRPr="009F00FC" w:rsidRDefault="005343D8" w:rsidP="005343D8">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5468AA68" w14:textId="471F9B54" w:rsidR="005343D8" w:rsidRPr="009F00FC" w:rsidRDefault="005343D8" w:rsidP="005343D8">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8" w:type="dxa"/>
            <w:shd w:val="clear" w:color="auto" w:fill="FFFFFF"/>
            <w:vAlign w:val="center"/>
          </w:tcPr>
          <w:p w14:paraId="4E5E3A89" w14:textId="5B2DF725" w:rsidR="005343D8" w:rsidRPr="00684149" w:rsidRDefault="005343D8" w:rsidP="005343D8">
            <w:pPr>
              <w:spacing w:line="240" w:lineRule="auto"/>
              <w:jc w:val="right"/>
              <w:rPr>
                <w:rFonts w:ascii="Times New Roman" w:hAnsi="Times New Roman"/>
                <w:sz w:val="14"/>
                <w:szCs w:val="14"/>
              </w:rPr>
            </w:pPr>
            <w:r w:rsidRPr="00684149">
              <w:rPr>
                <w:rFonts w:ascii="Times New Roman" w:hAnsi="Times New Roman"/>
                <w:sz w:val="14"/>
                <w:szCs w:val="14"/>
              </w:rPr>
              <w:t>-4,604</w:t>
            </w:r>
          </w:p>
        </w:tc>
        <w:tc>
          <w:tcPr>
            <w:tcW w:w="709" w:type="dxa"/>
            <w:shd w:val="clear" w:color="auto" w:fill="FFFFFF"/>
            <w:vAlign w:val="center"/>
          </w:tcPr>
          <w:p w14:paraId="0FF8830C" w14:textId="070BF712" w:rsidR="005343D8" w:rsidRPr="00684149" w:rsidRDefault="006E3E65" w:rsidP="005343D8">
            <w:pPr>
              <w:spacing w:line="240" w:lineRule="auto"/>
              <w:jc w:val="right"/>
              <w:rPr>
                <w:rFonts w:ascii="Times New Roman" w:hAnsi="Times New Roman"/>
                <w:sz w:val="14"/>
                <w:szCs w:val="14"/>
              </w:rPr>
            </w:pPr>
            <w:r w:rsidRPr="00684149">
              <w:rPr>
                <w:rFonts w:ascii="Times New Roman" w:hAnsi="Times New Roman"/>
                <w:sz w:val="14"/>
                <w:szCs w:val="14"/>
              </w:rPr>
              <w:t>-</w:t>
            </w:r>
            <w:r w:rsidR="005343D8" w:rsidRPr="00684149">
              <w:rPr>
                <w:rFonts w:ascii="Times New Roman" w:hAnsi="Times New Roman"/>
                <w:sz w:val="14"/>
                <w:szCs w:val="14"/>
              </w:rPr>
              <w:t>4,940</w:t>
            </w:r>
          </w:p>
        </w:tc>
        <w:tc>
          <w:tcPr>
            <w:tcW w:w="709" w:type="dxa"/>
            <w:shd w:val="clear" w:color="auto" w:fill="FFFFFF"/>
            <w:vAlign w:val="center"/>
          </w:tcPr>
          <w:p w14:paraId="4BC81EB4" w14:textId="57560C90" w:rsidR="005343D8" w:rsidRPr="00684149" w:rsidRDefault="006E3E65" w:rsidP="005343D8">
            <w:pPr>
              <w:spacing w:line="240" w:lineRule="auto"/>
              <w:jc w:val="right"/>
              <w:rPr>
                <w:rFonts w:ascii="Times New Roman" w:hAnsi="Times New Roman"/>
                <w:sz w:val="14"/>
                <w:szCs w:val="14"/>
              </w:rPr>
            </w:pPr>
            <w:r w:rsidRPr="00684149">
              <w:rPr>
                <w:rFonts w:ascii="Times New Roman" w:hAnsi="Times New Roman"/>
                <w:spacing w:val="-2"/>
                <w:sz w:val="14"/>
                <w:szCs w:val="14"/>
              </w:rPr>
              <w:t>-</w:t>
            </w:r>
            <w:r w:rsidR="005343D8" w:rsidRPr="00684149">
              <w:rPr>
                <w:rFonts w:ascii="Times New Roman" w:hAnsi="Times New Roman"/>
                <w:spacing w:val="-2"/>
                <w:sz w:val="14"/>
                <w:szCs w:val="14"/>
              </w:rPr>
              <w:t>5,192</w:t>
            </w:r>
          </w:p>
        </w:tc>
        <w:tc>
          <w:tcPr>
            <w:tcW w:w="850" w:type="dxa"/>
            <w:shd w:val="clear" w:color="auto" w:fill="FFFFFF"/>
            <w:vAlign w:val="center"/>
          </w:tcPr>
          <w:p w14:paraId="574EB3D5" w14:textId="010057C5" w:rsidR="005343D8" w:rsidRPr="00684149" w:rsidRDefault="00684149" w:rsidP="005343D8">
            <w:pPr>
              <w:spacing w:line="240" w:lineRule="auto"/>
              <w:jc w:val="right"/>
              <w:rPr>
                <w:rFonts w:ascii="Times New Roman" w:hAnsi="Times New Roman"/>
                <w:sz w:val="14"/>
                <w:szCs w:val="14"/>
              </w:rPr>
            </w:pPr>
            <w:r>
              <w:rPr>
                <w:rFonts w:ascii="Times New Roman" w:hAnsi="Times New Roman"/>
                <w:spacing w:val="-2"/>
                <w:sz w:val="14"/>
                <w:szCs w:val="14"/>
              </w:rPr>
              <w:t>-</w:t>
            </w:r>
            <w:r w:rsidR="005343D8" w:rsidRPr="00684149">
              <w:rPr>
                <w:rFonts w:ascii="Times New Roman" w:hAnsi="Times New Roman"/>
                <w:spacing w:val="-2"/>
                <w:sz w:val="14"/>
                <w:szCs w:val="14"/>
              </w:rPr>
              <w:t>5,454</w:t>
            </w:r>
          </w:p>
        </w:tc>
        <w:tc>
          <w:tcPr>
            <w:tcW w:w="851" w:type="dxa"/>
            <w:shd w:val="clear" w:color="auto" w:fill="FFFFFF"/>
            <w:vAlign w:val="center"/>
          </w:tcPr>
          <w:p w14:paraId="0155E76C" w14:textId="0533CE94" w:rsidR="005343D8" w:rsidRPr="00684149" w:rsidRDefault="00684149" w:rsidP="005343D8">
            <w:pPr>
              <w:spacing w:line="240" w:lineRule="auto"/>
              <w:jc w:val="right"/>
              <w:rPr>
                <w:rFonts w:ascii="Times New Roman" w:hAnsi="Times New Roman"/>
                <w:sz w:val="14"/>
                <w:szCs w:val="14"/>
              </w:rPr>
            </w:pPr>
            <w:r>
              <w:rPr>
                <w:rFonts w:ascii="Times New Roman" w:hAnsi="Times New Roman"/>
                <w:spacing w:val="-2"/>
                <w:sz w:val="14"/>
                <w:szCs w:val="14"/>
              </w:rPr>
              <w:t>-</w:t>
            </w:r>
            <w:r w:rsidR="005343D8" w:rsidRPr="00684149">
              <w:rPr>
                <w:rFonts w:ascii="Times New Roman" w:hAnsi="Times New Roman"/>
                <w:spacing w:val="-2"/>
                <w:sz w:val="14"/>
                <w:szCs w:val="14"/>
              </w:rPr>
              <w:t>5,727</w:t>
            </w:r>
          </w:p>
        </w:tc>
        <w:tc>
          <w:tcPr>
            <w:tcW w:w="850" w:type="dxa"/>
            <w:shd w:val="clear" w:color="auto" w:fill="FFFFFF"/>
            <w:vAlign w:val="center"/>
          </w:tcPr>
          <w:p w14:paraId="579BC312" w14:textId="2F88A51C" w:rsidR="005343D8" w:rsidRPr="00684149" w:rsidRDefault="00684149" w:rsidP="005343D8">
            <w:pPr>
              <w:spacing w:line="240" w:lineRule="auto"/>
              <w:jc w:val="right"/>
              <w:rPr>
                <w:rFonts w:ascii="Times New Roman" w:hAnsi="Times New Roman"/>
                <w:sz w:val="14"/>
                <w:szCs w:val="14"/>
              </w:rPr>
            </w:pPr>
            <w:r>
              <w:rPr>
                <w:rFonts w:ascii="Times New Roman" w:hAnsi="Times New Roman"/>
                <w:spacing w:val="-2"/>
                <w:sz w:val="14"/>
                <w:szCs w:val="14"/>
              </w:rPr>
              <w:t>-</w:t>
            </w:r>
            <w:r w:rsidR="005343D8" w:rsidRPr="00684149">
              <w:rPr>
                <w:rFonts w:ascii="Times New Roman" w:hAnsi="Times New Roman"/>
                <w:spacing w:val="-2"/>
                <w:sz w:val="14"/>
                <w:szCs w:val="14"/>
              </w:rPr>
              <w:t>6,013</w:t>
            </w:r>
          </w:p>
        </w:tc>
        <w:tc>
          <w:tcPr>
            <w:tcW w:w="709" w:type="dxa"/>
            <w:shd w:val="clear" w:color="auto" w:fill="FFFFFF"/>
            <w:vAlign w:val="center"/>
          </w:tcPr>
          <w:p w14:paraId="0D976328" w14:textId="283301FE" w:rsidR="005343D8" w:rsidRPr="00684149" w:rsidRDefault="00684149" w:rsidP="005343D8">
            <w:pPr>
              <w:spacing w:line="240" w:lineRule="auto"/>
              <w:jc w:val="right"/>
              <w:rPr>
                <w:rFonts w:ascii="Times New Roman" w:hAnsi="Times New Roman"/>
                <w:sz w:val="14"/>
                <w:szCs w:val="14"/>
              </w:rPr>
            </w:pPr>
            <w:r>
              <w:rPr>
                <w:rFonts w:ascii="Times New Roman" w:hAnsi="Times New Roman"/>
                <w:spacing w:val="-2"/>
                <w:sz w:val="14"/>
                <w:szCs w:val="14"/>
              </w:rPr>
              <w:t>-</w:t>
            </w:r>
            <w:r w:rsidR="005343D8" w:rsidRPr="00684149">
              <w:rPr>
                <w:rFonts w:ascii="Times New Roman" w:hAnsi="Times New Roman"/>
                <w:spacing w:val="-2"/>
                <w:sz w:val="14"/>
                <w:szCs w:val="14"/>
              </w:rPr>
              <w:t>6,313</w:t>
            </w:r>
          </w:p>
        </w:tc>
        <w:tc>
          <w:tcPr>
            <w:tcW w:w="992" w:type="dxa"/>
            <w:gridSpan w:val="2"/>
            <w:shd w:val="clear" w:color="auto" w:fill="FFFFFF"/>
            <w:vAlign w:val="center"/>
          </w:tcPr>
          <w:p w14:paraId="03C3BDC4" w14:textId="71A06A7A" w:rsidR="005343D8" w:rsidRPr="00684149" w:rsidRDefault="00684149" w:rsidP="005343D8">
            <w:pPr>
              <w:spacing w:line="240" w:lineRule="auto"/>
              <w:jc w:val="right"/>
              <w:rPr>
                <w:rFonts w:ascii="Times New Roman" w:hAnsi="Times New Roman"/>
                <w:b/>
                <w:bCs/>
                <w:sz w:val="14"/>
                <w:szCs w:val="14"/>
              </w:rPr>
            </w:pPr>
            <w:r>
              <w:rPr>
                <w:rFonts w:ascii="Times New Roman" w:hAnsi="Times New Roman"/>
                <w:sz w:val="14"/>
                <w:szCs w:val="14"/>
              </w:rPr>
              <w:t>-3</w:t>
            </w:r>
            <w:r w:rsidR="00FC1CC5">
              <w:rPr>
                <w:rFonts w:ascii="Times New Roman" w:hAnsi="Times New Roman"/>
                <w:sz w:val="14"/>
                <w:szCs w:val="14"/>
              </w:rPr>
              <w:t>2</w:t>
            </w:r>
            <w:r>
              <w:rPr>
                <w:rFonts w:ascii="Times New Roman" w:hAnsi="Times New Roman"/>
                <w:sz w:val="14"/>
                <w:szCs w:val="14"/>
              </w:rPr>
              <w:t>,</w:t>
            </w:r>
            <w:r w:rsidR="00FC1CC5">
              <w:rPr>
                <w:rFonts w:ascii="Times New Roman" w:hAnsi="Times New Roman"/>
                <w:sz w:val="14"/>
                <w:szCs w:val="14"/>
              </w:rPr>
              <w:t>789</w:t>
            </w:r>
          </w:p>
        </w:tc>
      </w:tr>
      <w:tr w:rsidR="00AF46F5" w:rsidRPr="009F00FC" w14:paraId="07B3CEC1" w14:textId="77777777" w:rsidTr="00A846B7">
        <w:trPr>
          <w:trHeight w:val="21"/>
        </w:trPr>
        <w:tc>
          <w:tcPr>
            <w:tcW w:w="1701" w:type="dxa"/>
            <w:shd w:val="clear" w:color="auto" w:fill="FFFFFF"/>
            <w:vAlign w:val="center"/>
          </w:tcPr>
          <w:p w14:paraId="32E94D29" w14:textId="6E707732" w:rsidR="00AF46F5" w:rsidRPr="009F00FC" w:rsidRDefault="00AF46F5" w:rsidP="00AF46F5">
            <w:pPr>
              <w:spacing w:line="240" w:lineRule="auto"/>
              <w:jc w:val="both"/>
              <w:rPr>
                <w:rFonts w:ascii="Times New Roman" w:hAnsi="Times New Roman"/>
                <w:sz w:val="14"/>
                <w:szCs w:val="14"/>
              </w:rPr>
            </w:pPr>
            <w:r w:rsidRPr="009F00FC">
              <w:rPr>
                <w:rFonts w:ascii="Times New Roman" w:hAnsi="Times New Roman"/>
                <w:sz w:val="14"/>
                <w:szCs w:val="14"/>
              </w:rPr>
              <w:t>NFOŚiGW</w:t>
            </w:r>
          </w:p>
        </w:tc>
        <w:tc>
          <w:tcPr>
            <w:tcW w:w="680" w:type="dxa"/>
            <w:shd w:val="clear" w:color="auto" w:fill="FFFFFF"/>
            <w:vAlign w:val="center"/>
          </w:tcPr>
          <w:p w14:paraId="695A208A" w14:textId="4E4EFB95"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67" w:type="dxa"/>
            <w:shd w:val="clear" w:color="auto" w:fill="FFFFFF"/>
            <w:vAlign w:val="center"/>
          </w:tcPr>
          <w:p w14:paraId="419F48F1" w14:textId="5EC0D10F"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16BE143A" w14:textId="53E1E69A"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151AC446" w14:textId="2296BD8F"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8" w:type="dxa"/>
            <w:shd w:val="clear" w:color="auto" w:fill="FFFFFF"/>
            <w:vAlign w:val="center"/>
          </w:tcPr>
          <w:p w14:paraId="3EE864AE" w14:textId="34496707" w:rsidR="00AF46F5" w:rsidRPr="009F00FC" w:rsidRDefault="005650EF" w:rsidP="00AF46F5">
            <w:pPr>
              <w:spacing w:line="240" w:lineRule="auto"/>
              <w:jc w:val="right"/>
              <w:rPr>
                <w:rFonts w:ascii="Times New Roman" w:hAnsi="Times New Roman"/>
                <w:sz w:val="14"/>
                <w:szCs w:val="14"/>
              </w:rPr>
            </w:pPr>
            <w:r>
              <w:rPr>
                <w:rFonts w:ascii="Times New Roman" w:hAnsi="Times New Roman"/>
                <w:sz w:val="14"/>
                <w:szCs w:val="14"/>
              </w:rPr>
              <w:t>2,318</w:t>
            </w:r>
          </w:p>
        </w:tc>
        <w:tc>
          <w:tcPr>
            <w:tcW w:w="709" w:type="dxa"/>
            <w:shd w:val="clear" w:color="auto" w:fill="FFFFFF"/>
            <w:vAlign w:val="center"/>
          </w:tcPr>
          <w:p w14:paraId="746B4A57" w14:textId="22034F48"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r w:rsidR="00684149">
              <w:rPr>
                <w:rFonts w:ascii="Times New Roman" w:hAnsi="Times New Roman"/>
                <w:sz w:val="14"/>
                <w:szCs w:val="14"/>
              </w:rPr>
              <w:t>,09</w:t>
            </w:r>
          </w:p>
        </w:tc>
        <w:tc>
          <w:tcPr>
            <w:tcW w:w="709" w:type="dxa"/>
            <w:shd w:val="clear" w:color="auto" w:fill="FFFFFF"/>
            <w:vAlign w:val="center"/>
          </w:tcPr>
          <w:p w14:paraId="530FD15B" w14:textId="782A54EB"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r w:rsidR="00684149">
              <w:rPr>
                <w:rFonts w:ascii="Times New Roman" w:hAnsi="Times New Roman"/>
                <w:sz w:val="14"/>
                <w:szCs w:val="14"/>
              </w:rPr>
              <w:t>,09</w:t>
            </w:r>
          </w:p>
        </w:tc>
        <w:tc>
          <w:tcPr>
            <w:tcW w:w="850" w:type="dxa"/>
            <w:shd w:val="clear" w:color="auto" w:fill="FFFFFF"/>
            <w:vAlign w:val="center"/>
          </w:tcPr>
          <w:p w14:paraId="20DF83AD" w14:textId="34C616A1"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r w:rsidR="00684149">
              <w:rPr>
                <w:rFonts w:ascii="Times New Roman" w:hAnsi="Times New Roman"/>
                <w:sz w:val="14"/>
                <w:szCs w:val="14"/>
              </w:rPr>
              <w:t>,09</w:t>
            </w:r>
          </w:p>
        </w:tc>
        <w:tc>
          <w:tcPr>
            <w:tcW w:w="851" w:type="dxa"/>
            <w:shd w:val="clear" w:color="auto" w:fill="FFFFFF"/>
            <w:vAlign w:val="center"/>
          </w:tcPr>
          <w:p w14:paraId="39CB41BD" w14:textId="075AFCDD"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r w:rsidR="00684149">
              <w:rPr>
                <w:rFonts w:ascii="Times New Roman" w:hAnsi="Times New Roman"/>
                <w:sz w:val="14"/>
                <w:szCs w:val="14"/>
              </w:rPr>
              <w:t>,09</w:t>
            </w:r>
          </w:p>
        </w:tc>
        <w:tc>
          <w:tcPr>
            <w:tcW w:w="850" w:type="dxa"/>
            <w:shd w:val="clear" w:color="auto" w:fill="FFFFFF"/>
            <w:vAlign w:val="center"/>
          </w:tcPr>
          <w:p w14:paraId="45A5CAD9" w14:textId="3DEE3F16"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r w:rsidR="00684149">
              <w:rPr>
                <w:rFonts w:ascii="Times New Roman" w:hAnsi="Times New Roman"/>
                <w:sz w:val="14"/>
                <w:szCs w:val="14"/>
              </w:rPr>
              <w:t>,09</w:t>
            </w:r>
          </w:p>
        </w:tc>
        <w:tc>
          <w:tcPr>
            <w:tcW w:w="709" w:type="dxa"/>
            <w:shd w:val="clear" w:color="auto" w:fill="FFFFFF"/>
            <w:vAlign w:val="center"/>
          </w:tcPr>
          <w:p w14:paraId="0463C2D9" w14:textId="7107F9C3"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r w:rsidR="00684149">
              <w:rPr>
                <w:rFonts w:ascii="Times New Roman" w:hAnsi="Times New Roman"/>
                <w:sz w:val="14"/>
                <w:szCs w:val="14"/>
              </w:rPr>
              <w:t>,09</w:t>
            </w:r>
          </w:p>
        </w:tc>
        <w:tc>
          <w:tcPr>
            <w:tcW w:w="992" w:type="dxa"/>
            <w:gridSpan w:val="2"/>
            <w:shd w:val="clear" w:color="auto" w:fill="FFFFFF"/>
            <w:vAlign w:val="center"/>
          </w:tcPr>
          <w:p w14:paraId="0236B469" w14:textId="70BA5DE9" w:rsidR="00AF46F5" w:rsidRPr="009F00FC" w:rsidRDefault="005650EF" w:rsidP="00AF46F5">
            <w:pPr>
              <w:spacing w:line="240" w:lineRule="auto"/>
              <w:jc w:val="right"/>
              <w:rPr>
                <w:rFonts w:ascii="Times New Roman" w:hAnsi="Times New Roman"/>
                <w:b/>
                <w:bCs/>
                <w:sz w:val="14"/>
                <w:szCs w:val="14"/>
              </w:rPr>
            </w:pPr>
            <w:r>
              <w:rPr>
                <w:rFonts w:ascii="Times New Roman" w:hAnsi="Times New Roman"/>
                <w:sz w:val="14"/>
                <w:szCs w:val="14"/>
              </w:rPr>
              <w:t>2,858</w:t>
            </w:r>
          </w:p>
        </w:tc>
      </w:tr>
      <w:tr w:rsidR="00AF46F5" w:rsidRPr="009F00FC" w14:paraId="518BEB2C" w14:textId="77777777" w:rsidTr="00A846B7">
        <w:trPr>
          <w:trHeight w:val="21"/>
        </w:trPr>
        <w:tc>
          <w:tcPr>
            <w:tcW w:w="1701" w:type="dxa"/>
            <w:shd w:val="clear" w:color="auto" w:fill="FFFFFF"/>
            <w:vAlign w:val="center"/>
          </w:tcPr>
          <w:p w14:paraId="3577CE32" w14:textId="775CB75A" w:rsidR="00AF46F5" w:rsidRPr="009F00FC" w:rsidRDefault="00AF46F5" w:rsidP="00AF46F5">
            <w:pPr>
              <w:spacing w:line="240" w:lineRule="auto"/>
              <w:jc w:val="both"/>
              <w:rPr>
                <w:rFonts w:ascii="Times New Roman" w:hAnsi="Times New Roman"/>
                <w:sz w:val="14"/>
                <w:szCs w:val="14"/>
              </w:rPr>
            </w:pPr>
            <w:r w:rsidRPr="009F00FC">
              <w:rPr>
                <w:rFonts w:ascii="Times New Roman" w:hAnsi="Times New Roman"/>
                <w:sz w:val="14"/>
                <w:szCs w:val="14"/>
              </w:rPr>
              <w:t>JST</w:t>
            </w:r>
          </w:p>
        </w:tc>
        <w:tc>
          <w:tcPr>
            <w:tcW w:w="680" w:type="dxa"/>
            <w:shd w:val="clear" w:color="auto" w:fill="FFFFFF"/>
            <w:vAlign w:val="center"/>
          </w:tcPr>
          <w:p w14:paraId="162EF378" w14:textId="0080DCD4"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67" w:type="dxa"/>
            <w:shd w:val="clear" w:color="auto" w:fill="FFFFFF"/>
            <w:vAlign w:val="center"/>
          </w:tcPr>
          <w:p w14:paraId="223F0941" w14:textId="57B17BF7"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6752C11A" w14:textId="25F5B3EF"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6CC6EF04" w14:textId="78B5AA91"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8" w:type="dxa"/>
            <w:shd w:val="clear" w:color="auto" w:fill="FFFFFF"/>
            <w:vAlign w:val="center"/>
          </w:tcPr>
          <w:p w14:paraId="26CC4DDD" w14:textId="012A66A0"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06D3CFDC" w14:textId="2C74E665"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06D9E3B9" w14:textId="7FC27B31"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850" w:type="dxa"/>
            <w:shd w:val="clear" w:color="auto" w:fill="FFFFFF"/>
            <w:vAlign w:val="center"/>
          </w:tcPr>
          <w:p w14:paraId="7001D78B" w14:textId="1ABCF01D"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851" w:type="dxa"/>
            <w:shd w:val="clear" w:color="auto" w:fill="FFFFFF"/>
            <w:vAlign w:val="center"/>
          </w:tcPr>
          <w:p w14:paraId="11B6D733" w14:textId="64420614"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850" w:type="dxa"/>
            <w:shd w:val="clear" w:color="auto" w:fill="FFFFFF"/>
            <w:vAlign w:val="center"/>
          </w:tcPr>
          <w:p w14:paraId="2E6A81FD" w14:textId="2BE19726"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709" w:type="dxa"/>
            <w:shd w:val="clear" w:color="auto" w:fill="FFFFFF"/>
            <w:vAlign w:val="center"/>
          </w:tcPr>
          <w:p w14:paraId="4709A52B" w14:textId="4EB0317E" w:rsidR="00AF46F5" w:rsidRPr="009F00FC" w:rsidRDefault="00AF46F5" w:rsidP="00AF46F5">
            <w:pPr>
              <w:spacing w:line="240" w:lineRule="auto"/>
              <w:jc w:val="right"/>
              <w:rPr>
                <w:rFonts w:ascii="Times New Roman" w:hAnsi="Times New Roman"/>
                <w:sz w:val="14"/>
                <w:szCs w:val="14"/>
              </w:rPr>
            </w:pPr>
            <w:r w:rsidRPr="009F00FC">
              <w:rPr>
                <w:rFonts w:ascii="Times New Roman" w:hAnsi="Times New Roman"/>
                <w:sz w:val="14"/>
                <w:szCs w:val="14"/>
              </w:rPr>
              <w:t>0</w:t>
            </w:r>
          </w:p>
        </w:tc>
        <w:tc>
          <w:tcPr>
            <w:tcW w:w="992" w:type="dxa"/>
            <w:gridSpan w:val="2"/>
            <w:shd w:val="clear" w:color="auto" w:fill="FFFFFF"/>
            <w:vAlign w:val="center"/>
          </w:tcPr>
          <w:p w14:paraId="58124FCA" w14:textId="23F30E45" w:rsidR="00AF46F5" w:rsidRPr="009F00FC" w:rsidRDefault="00AF46F5" w:rsidP="00AF46F5">
            <w:pPr>
              <w:spacing w:line="240" w:lineRule="auto"/>
              <w:jc w:val="right"/>
              <w:rPr>
                <w:rFonts w:ascii="Times New Roman" w:hAnsi="Times New Roman"/>
                <w:b/>
                <w:bCs/>
                <w:sz w:val="14"/>
                <w:szCs w:val="14"/>
              </w:rPr>
            </w:pPr>
            <w:r w:rsidRPr="009F00FC">
              <w:rPr>
                <w:rFonts w:ascii="Times New Roman" w:hAnsi="Times New Roman"/>
                <w:sz w:val="14"/>
                <w:szCs w:val="14"/>
              </w:rPr>
              <w:t>0</w:t>
            </w:r>
          </w:p>
        </w:tc>
      </w:tr>
    </w:tbl>
    <w:p w14:paraId="7BD465FD" w14:textId="77777777" w:rsidR="00BC3C23" w:rsidRPr="009F00FC" w:rsidRDefault="00BC3C23">
      <w:pPr>
        <w:rPr>
          <w:sz w:val="2"/>
          <w:szCs w:val="2"/>
        </w:rPr>
      </w:pPr>
    </w:p>
    <w:p w14:paraId="2847EFC8" w14:textId="77777777" w:rsidR="007E6AA4" w:rsidRPr="009F00FC" w:rsidRDefault="007E6AA4">
      <w:pPr>
        <w:rPr>
          <w:sz w:val="2"/>
          <w:szCs w:val="2"/>
        </w:rPr>
      </w:pPr>
    </w:p>
    <w:p w14:paraId="3532E2C6" w14:textId="77777777" w:rsidR="007E6AA4" w:rsidRPr="009F00FC" w:rsidRDefault="007E6AA4">
      <w:pPr>
        <w:rPr>
          <w:sz w:val="2"/>
          <w:szCs w:val="2"/>
        </w:rPr>
      </w:pPr>
    </w:p>
    <w:p w14:paraId="47D7F576" w14:textId="77777777" w:rsidR="00BC3C23" w:rsidRPr="009F00FC" w:rsidRDefault="00BC3C23">
      <w:pPr>
        <w:rPr>
          <w:sz w:val="4"/>
          <w:szCs w:val="4"/>
        </w:rPr>
      </w:pPr>
    </w:p>
    <w:tbl>
      <w:tblPr>
        <w:tblW w:w="10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1304"/>
        <w:gridCol w:w="342"/>
        <w:gridCol w:w="937"/>
        <w:gridCol w:w="285"/>
        <w:gridCol w:w="653"/>
        <w:gridCol w:w="894"/>
        <w:gridCol w:w="576"/>
        <w:gridCol w:w="405"/>
        <w:gridCol w:w="938"/>
        <w:gridCol w:w="938"/>
        <w:gridCol w:w="1422"/>
      </w:tblGrid>
      <w:tr w:rsidR="009F00FC" w:rsidRPr="009F00FC" w14:paraId="09F86B78" w14:textId="77777777" w:rsidTr="00C14EA7">
        <w:trPr>
          <w:trHeight w:val="348"/>
          <w:jc w:val="center"/>
        </w:trPr>
        <w:tc>
          <w:tcPr>
            <w:tcW w:w="2243" w:type="dxa"/>
            <w:gridSpan w:val="2"/>
            <w:shd w:val="clear" w:color="auto" w:fill="FFFFFF"/>
            <w:vAlign w:val="center"/>
          </w:tcPr>
          <w:p w14:paraId="0AA18586" w14:textId="77777777" w:rsidR="00E40B9E" w:rsidRPr="009F00FC" w:rsidRDefault="00E40B9E" w:rsidP="00E40B9E">
            <w:pPr>
              <w:spacing w:line="240" w:lineRule="auto"/>
              <w:jc w:val="both"/>
              <w:rPr>
                <w:rFonts w:ascii="Times New Roman" w:hAnsi="Times New Roman"/>
              </w:rPr>
            </w:pPr>
            <w:r w:rsidRPr="009F00FC">
              <w:rPr>
                <w:rFonts w:ascii="Times New Roman" w:hAnsi="Times New Roman"/>
              </w:rPr>
              <w:lastRenderedPageBreak/>
              <w:t xml:space="preserve">Źródła finansowania </w:t>
            </w:r>
          </w:p>
        </w:tc>
        <w:tc>
          <w:tcPr>
            <w:tcW w:w="8694" w:type="dxa"/>
            <w:gridSpan w:val="11"/>
            <w:shd w:val="clear" w:color="auto" w:fill="FFFFFF"/>
            <w:vAlign w:val="center"/>
          </w:tcPr>
          <w:p w14:paraId="26AB0556" w14:textId="754F7068" w:rsidR="007B7D4E" w:rsidRPr="009F00FC" w:rsidRDefault="00021F37" w:rsidP="009A7B8F">
            <w:pPr>
              <w:autoSpaceDE w:val="0"/>
              <w:autoSpaceDN w:val="0"/>
              <w:adjustRightInd w:val="0"/>
              <w:spacing w:line="240" w:lineRule="auto"/>
              <w:jc w:val="both"/>
              <w:rPr>
                <w:rFonts w:ascii="Times New Roman" w:hAnsi="Times New Roman"/>
              </w:rPr>
            </w:pPr>
            <w:r>
              <w:rPr>
                <w:rFonts w:ascii="Times New Roman" w:hAnsi="Times New Roman"/>
              </w:rPr>
              <w:t>Budżet państwa</w:t>
            </w:r>
            <w:r w:rsidR="003D07FE">
              <w:rPr>
                <w:rFonts w:ascii="Times New Roman" w:hAnsi="Times New Roman"/>
              </w:rPr>
              <w:t xml:space="preserve"> (realizacja wskazanych działań w ramach</w:t>
            </w:r>
            <w:r w:rsidR="00356064">
              <w:rPr>
                <w:rFonts w:ascii="Times New Roman" w:hAnsi="Times New Roman"/>
              </w:rPr>
              <w:t xml:space="preserve"> limitu</w:t>
            </w:r>
            <w:r w:rsidR="003D07FE">
              <w:rPr>
                <w:rFonts w:ascii="Times New Roman" w:hAnsi="Times New Roman"/>
              </w:rPr>
              <w:t xml:space="preserve"> części 51 i części 85)</w:t>
            </w:r>
            <w:r w:rsidR="00B8677E">
              <w:rPr>
                <w:rFonts w:ascii="Times New Roman" w:hAnsi="Times New Roman"/>
              </w:rPr>
              <w:t>, NFOŚiGW</w:t>
            </w:r>
          </w:p>
        </w:tc>
      </w:tr>
      <w:tr w:rsidR="009F00FC" w:rsidRPr="009F00FC" w14:paraId="4D7428EB" w14:textId="77777777" w:rsidTr="00C14EA7">
        <w:trPr>
          <w:trHeight w:val="416"/>
          <w:jc w:val="center"/>
        </w:trPr>
        <w:tc>
          <w:tcPr>
            <w:tcW w:w="2243" w:type="dxa"/>
            <w:gridSpan w:val="2"/>
            <w:shd w:val="clear" w:color="auto" w:fill="FFFFFF"/>
          </w:tcPr>
          <w:p w14:paraId="1A3F890D" w14:textId="77777777" w:rsidR="00E40B9E" w:rsidRPr="009F00FC" w:rsidRDefault="00E40B9E" w:rsidP="00E40B9E">
            <w:pPr>
              <w:spacing w:line="240" w:lineRule="auto"/>
              <w:jc w:val="both"/>
              <w:rPr>
                <w:rFonts w:ascii="Times New Roman" w:hAnsi="Times New Roman"/>
              </w:rPr>
            </w:pPr>
            <w:r w:rsidRPr="009F00FC">
              <w:rPr>
                <w:rFonts w:ascii="Times New Roman" w:hAnsi="Times New Roman"/>
              </w:rPr>
              <w:t>Dodatkowe informacje, w tym wskazanie źródeł danych i przyjętych do obliczeń założeń</w:t>
            </w:r>
          </w:p>
        </w:tc>
        <w:tc>
          <w:tcPr>
            <w:tcW w:w="8694" w:type="dxa"/>
            <w:gridSpan w:val="11"/>
            <w:shd w:val="clear" w:color="auto" w:fill="FFFFFF"/>
            <w:vAlign w:val="center"/>
          </w:tcPr>
          <w:p w14:paraId="3382C1D5" w14:textId="484C5926" w:rsidR="005A56C3" w:rsidRPr="00786CDD" w:rsidRDefault="005A56C3" w:rsidP="002B13D9">
            <w:pPr>
              <w:pStyle w:val="Style1"/>
              <w:spacing w:after="120"/>
              <w:jc w:val="both"/>
              <w:rPr>
                <w:sz w:val="22"/>
                <w:szCs w:val="22"/>
              </w:rPr>
            </w:pPr>
            <w:r w:rsidRPr="00786CDD">
              <w:rPr>
                <w:sz w:val="22"/>
                <w:szCs w:val="22"/>
              </w:rPr>
              <w:t xml:space="preserve">Przepisy dyrektywy </w:t>
            </w:r>
            <w:r w:rsidR="00B84C27" w:rsidRPr="00786CDD">
              <w:rPr>
                <w:bCs/>
                <w:sz w:val="22"/>
                <w:szCs w:val="22"/>
              </w:rPr>
              <w:t>2024/1785</w:t>
            </w:r>
            <w:r w:rsidRPr="00786CDD">
              <w:rPr>
                <w:sz w:val="22"/>
                <w:szCs w:val="22"/>
              </w:rPr>
              <w:t xml:space="preserve"> muszą zostać transponowane do prawa krajowego. Nie jest możliwe zastosowanie rozwiązań pozalegislacyjnych. Niewdrożenie dyrektywy w terminie grozi pozwaniem Polski przez KE do Trybunału Sprawiedliwości UE i nałożeniem odpowiedniej kary. </w:t>
            </w:r>
          </w:p>
          <w:p w14:paraId="3A52CE36" w14:textId="77777777" w:rsidR="005A56C3" w:rsidRPr="00786CDD" w:rsidRDefault="005A56C3" w:rsidP="002B13D9">
            <w:pPr>
              <w:pStyle w:val="Style1"/>
              <w:adjustRightInd/>
              <w:spacing w:after="120"/>
              <w:jc w:val="both"/>
              <w:rPr>
                <w:sz w:val="22"/>
                <w:szCs w:val="22"/>
              </w:rPr>
            </w:pPr>
            <w:r w:rsidRPr="00786CDD">
              <w:rPr>
                <w:sz w:val="22"/>
                <w:szCs w:val="22"/>
              </w:rPr>
              <w:t xml:space="preserve">Wejście w życie projektowanej ustawy będzie miało wpływ na sektor finansów publicznych. </w:t>
            </w:r>
          </w:p>
          <w:p w14:paraId="7B46A162" w14:textId="2A220F0F" w:rsidR="007267CA" w:rsidRPr="00786CDD" w:rsidRDefault="005A56C3" w:rsidP="002B13D9">
            <w:pPr>
              <w:pStyle w:val="Style1"/>
              <w:adjustRightInd/>
              <w:spacing w:after="120"/>
              <w:jc w:val="both"/>
              <w:rPr>
                <w:sz w:val="22"/>
                <w:szCs w:val="22"/>
              </w:rPr>
            </w:pPr>
            <w:r w:rsidRPr="00786CDD">
              <w:rPr>
                <w:sz w:val="22"/>
                <w:szCs w:val="22"/>
              </w:rPr>
              <w:t xml:space="preserve">W chwili obecnej na terenie kraju eksploatowanych jest ok. </w:t>
            </w:r>
            <w:r w:rsidR="00590A23" w:rsidRPr="00786CDD">
              <w:rPr>
                <w:sz w:val="22"/>
                <w:szCs w:val="22"/>
              </w:rPr>
              <w:t>4</w:t>
            </w:r>
            <w:r w:rsidR="00621ECF" w:rsidRPr="00786CDD">
              <w:rPr>
                <w:sz w:val="22"/>
                <w:szCs w:val="22"/>
              </w:rPr>
              <w:t>3</w:t>
            </w:r>
            <w:r w:rsidR="007267CA" w:rsidRPr="00786CDD">
              <w:rPr>
                <w:sz w:val="22"/>
                <w:szCs w:val="22"/>
              </w:rPr>
              <w:t>0</w:t>
            </w:r>
            <w:r w:rsidR="000E53A5" w:rsidRPr="00786CDD">
              <w:rPr>
                <w:sz w:val="22"/>
                <w:szCs w:val="22"/>
              </w:rPr>
              <w:t>0</w:t>
            </w:r>
            <w:r w:rsidR="00B84C27" w:rsidRPr="00786CDD">
              <w:rPr>
                <w:sz w:val="22"/>
                <w:szCs w:val="22"/>
              </w:rPr>
              <w:t xml:space="preserve"> </w:t>
            </w:r>
            <w:r w:rsidRPr="00786CDD">
              <w:rPr>
                <w:sz w:val="22"/>
                <w:szCs w:val="22"/>
              </w:rPr>
              <w:t>instalacji</w:t>
            </w:r>
            <w:r w:rsidR="00621ECF" w:rsidRPr="00786CDD">
              <w:rPr>
                <w:sz w:val="22"/>
                <w:szCs w:val="22"/>
              </w:rPr>
              <w:t xml:space="preserve"> (prowadzonych przez 3588 podmiotów gospodarczych)</w:t>
            </w:r>
            <w:r w:rsidRPr="00786CDD">
              <w:rPr>
                <w:sz w:val="22"/>
                <w:szCs w:val="22"/>
              </w:rPr>
              <w:t>, dla których wymagane jest pozwolenie zintegrowane. W 20</w:t>
            </w:r>
            <w:r w:rsidR="00B84C27" w:rsidRPr="00786CDD">
              <w:rPr>
                <w:sz w:val="22"/>
                <w:szCs w:val="22"/>
              </w:rPr>
              <w:t>23</w:t>
            </w:r>
            <w:r w:rsidRPr="00786CDD">
              <w:rPr>
                <w:sz w:val="22"/>
                <w:szCs w:val="22"/>
              </w:rPr>
              <w:t xml:space="preserve"> r. wydano ok. </w:t>
            </w:r>
            <w:r w:rsidR="00C67D67" w:rsidRPr="00786CDD">
              <w:rPr>
                <w:sz w:val="22"/>
                <w:szCs w:val="22"/>
              </w:rPr>
              <w:t>68</w:t>
            </w:r>
            <w:r w:rsidRPr="00786CDD">
              <w:rPr>
                <w:sz w:val="22"/>
                <w:szCs w:val="22"/>
              </w:rPr>
              <w:t xml:space="preserve"> nowych pozwoleń oraz zmieni</w:t>
            </w:r>
            <w:r w:rsidR="007267CA" w:rsidRPr="00786CDD">
              <w:rPr>
                <w:sz w:val="22"/>
                <w:szCs w:val="22"/>
              </w:rPr>
              <w:t>o</w:t>
            </w:r>
            <w:r w:rsidRPr="00786CDD">
              <w:rPr>
                <w:sz w:val="22"/>
                <w:szCs w:val="22"/>
              </w:rPr>
              <w:t xml:space="preserve">no ok. </w:t>
            </w:r>
            <w:r w:rsidR="00C67D67" w:rsidRPr="00786CDD">
              <w:rPr>
                <w:sz w:val="22"/>
                <w:szCs w:val="22"/>
              </w:rPr>
              <w:t>775</w:t>
            </w:r>
            <w:r w:rsidRPr="00786CDD">
              <w:rPr>
                <w:sz w:val="22"/>
                <w:szCs w:val="22"/>
              </w:rPr>
              <w:t xml:space="preserve"> pozwoleń istniejących. Aktualnie toczy się ok. </w:t>
            </w:r>
            <w:r w:rsidR="002A328C" w:rsidRPr="00786CDD">
              <w:rPr>
                <w:sz w:val="22"/>
                <w:szCs w:val="22"/>
              </w:rPr>
              <w:t>330</w:t>
            </w:r>
            <w:r w:rsidRPr="00786CDD">
              <w:rPr>
                <w:sz w:val="22"/>
                <w:szCs w:val="22"/>
              </w:rPr>
              <w:t xml:space="preserve"> postępowań dotyczących wydania nowych </w:t>
            </w:r>
            <w:r w:rsidR="002A328C" w:rsidRPr="00786CDD">
              <w:rPr>
                <w:sz w:val="22"/>
                <w:szCs w:val="22"/>
              </w:rPr>
              <w:t xml:space="preserve">lub zmiany </w:t>
            </w:r>
            <w:r w:rsidRPr="00786CDD">
              <w:rPr>
                <w:sz w:val="22"/>
                <w:szCs w:val="22"/>
              </w:rPr>
              <w:t>pozwole</w:t>
            </w:r>
            <w:r w:rsidR="002A328C" w:rsidRPr="00786CDD">
              <w:rPr>
                <w:sz w:val="22"/>
                <w:szCs w:val="22"/>
              </w:rPr>
              <w:t>ń zintegrowanych</w:t>
            </w:r>
            <w:r w:rsidRPr="00786CDD">
              <w:rPr>
                <w:sz w:val="22"/>
                <w:szCs w:val="22"/>
              </w:rPr>
              <w:t xml:space="preserve">. </w:t>
            </w:r>
          </w:p>
          <w:p w14:paraId="15BDD28C" w14:textId="63C095F7" w:rsidR="005A56C3" w:rsidRPr="00786CDD" w:rsidRDefault="007267CA" w:rsidP="002B13D9">
            <w:pPr>
              <w:pStyle w:val="Style1"/>
              <w:adjustRightInd/>
              <w:spacing w:after="120"/>
              <w:jc w:val="both"/>
              <w:rPr>
                <w:sz w:val="22"/>
                <w:szCs w:val="22"/>
              </w:rPr>
            </w:pPr>
            <w:r w:rsidRPr="00786CDD">
              <w:rPr>
                <w:sz w:val="22"/>
                <w:szCs w:val="22"/>
              </w:rPr>
              <w:t>Około</w:t>
            </w:r>
            <w:r w:rsidR="005A56C3" w:rsidRPr="00786CDD">
              <w:rPr>
                <w:sz w:val="22"/>
                <w:szCs w:val="22"/>
              </w:rPr>
              <w:t xml:space="preserve"> </w:t>
            </w:r>
            <w:r w:rsidRPr="00786CDD">
              <w:rPr>
                <w:sz w:val="22"/>
                <w:szCs w:val="22"/>
              </w:rPr>
              <w:t>3</w:t>
            </w:r>
            <w:r w:rsidR="00873C66" w:rsidRPr="00786CDD">
              <w:rPr>
                <w:sz w:val="22"/>
                <w:szCs w:val="22"/>
              </w:rPr>
              <w:t>9</w:t>
            </w:r>
            <w:r w:rsidR="00CB1157">
              <w:rPr>
                <w:sz w:val="22"/>
                <w:szCs w:val="22"/>
              </w:rPr>
              <w:t>9</w:t>
            </w:r>
            <w:r w:rsidR="005A56C3" w:rsidRPr="00786CDD">
              <w:rPr>
                <w:sz w:val="22"/>
                <w:szCs w:val="22"/>
              </w:rPr>
              <w:t xml:space="preserve"> nowych instalacji będzie musiało uzyskać pozwolenie zintegrowane</w:t>
            </w:r>
            <w:r w:rsidR="0094779F" w:rsidRPr="00786CDD">
              <w:rPr>
                <w:sz w:val="22"/>
                <w:szCs w:val="22"/>
              </w:rPr>
              <w:t>.</w:t>
            </w:r>
            <w:r w:rsidR="00C67D67" w:rsidRPr="00786CDD">
              <w:rPr>
                <w:sz w:val="22"/>
                <w:szCs w:val="22"/>
              </w:rPr>
              <w:t xml:space="preserve"> 7 instalacji</w:t>
            </w:r>
            <w:r w:rsidR="00CE253C" w:rsidRPr="00786CDD">
              <w:rPr>
                <w:sz w:val="22"/>
                <w:szCs w:val="22"/>
              </w:rPr>
              <w:t>, których rodzaje nie były objęte zakresem dyrektywy 2010/75/UE i</w:t>
            </w:r>
            <w:r w:rsidR="00C67D67" w:rsidRPr="00786CDD">
              <w:rPr>
                <w:sz w:val="22"/>
                <w:szCs w:val="22"/>
              </w:rPr>
              <w:t xml:space="preserve"> </w:t>
            </w:r>
            <w:r w:rsidR="00873C66" w:rsidRPr="00786CDD">
              <w:rPr>
                <w:sz w:val="22"/>
                <w:szCs w:val="22"/>
              </w:rPr>
              <w:t>3</w:t>
            </w:r>
            <w:r w:rsidR="00FE3A4C" w:rsidRPr="00786CDD">
              <w:rPr>
                <w:sz w:val="22"/>
                <w:szCs w:val="22"/>
              </w:rPr>
              <w:t>9</w:t>
            </w:r>
            <w:r w:rsidR="0091281E">
              <w:rPr>
                <w:sz w:val="22"/>
                <w:szCs w:val="22"/>
              </w:rPr>
              <w:t>2</w:t>
            </w:r>
            <w:r w:rsidR="00C67D67" w:rsidRPr="00786CDD">
              <w:rPr>
                <w:sz w:val="22"/>
                <w:szCs w:val="22"/>
              </w:rPr>
              <w:t xml:space="preserve"> instalacji</w:t>
            </w:r>
            <w:r w:rsidR="00CE253C" w:rsidRPr="00786CDD">
              <w:rPr>
                <w:sz w:val="22"/>
                <w:szCs w:val="22"/>
              </w:rPr>
              <w:t>,</w:t>
            </w:r>
            <w:r w:rsidR="00C67D67" w:rsidRPr="00786CDD">
              <w:rPr>
                <w:sz w:val="22"/>
                <w:szCs w:val="22"/>
              </w:rPr>
              <w:t xml:space="preserve"> których </w:t>
            </w:r>
            <w:r w:rsidR="00CE253C" w:rsidRPr="00786CDD">
              <w:rPr>
                <w:sz w:val="22"/>
                <w:szCs w:val="22"/>
              </w:rPr>
              <w:t>rodzaj był objęty zakresem dyrektywy 2010/75/UE, ale dokonano jego zmiany. W ramach wspomnianych 3</w:t>
            </w:r>
            <w:r w:rsidR="00FE3A4C" w:rsidRPr="00786CDD">
              <w:rPr>
                <w:sz w:val="22"/>
                <w:szCs w:val="22"/>
              </w:rPr>
              <w:t>9</w:t>
            </w:r>
            <w:r w:rsidR="0091281E">
              <w:rPr>
                <w:sz w:val="22"/>
                <w:szCs w:val="22"/>
              </w:rPr>
              <w:t>2</w:t>
            </w:r>
            <w:r w:rsidR="00CE253C" w:rsidRPr="00786CDD">
              <w:rPr>
                <w:sz w:val="22"/>
                <w:szCs w:val="22"/>
              </w:rPr>
              <w:t xml:space="preserve"> instalacji, 3</w:t>
            </w:r>
            <w:r w:rsidR="00FE3A4C" w:rsidRPr="00786CDD">
              <w:rPr>
                <w:sz w:val="22"/>
                <w:szCs w:val="22"/>
              </w:rPr>
              <w:t>59</w:t>
            </w:r>
            <w:r w:rsidR="00CE253C" w:rsidRPr="00786CDD">
              <w:rPr>
                <w:sz w:val="22"/>
                <w:szCs w:val="22"/>
              </w:rPr>
              <w:t xml:space="preserve"> to instalacje, których kwalifikacja do obowiązku uzyskania pozwolenia zintegrowanego wynika z załącznika Ia do dyrektywy 2024/1785</w:t>
            </w:r>
            <w:r w:rsidR="0072034A" w:rsidRPr="00786CDD">
              <w:rPr>
                <w:sz w:val="22"/>
                <w:szCs w:val="22"/>
              </w:rPr>
              <w:t>, czyli jest to chów drobiu lub świń</w:t>
            </w:r>
            <w:r w:rsidR="00CE253C" w:rsidRPr="00786CDD">
              <w:rPr>
                <w:sz w:val="22"/>
                <w:szCs w:val="22"/>
              </w:rPr>
              <w:t>.</w:t>
            </w:r>
          </w:p>
          <w:p w14:paraId="5F8539BD" w14:textId="1F0D3F14" w:rsidR="00110C2B" w:rsidRPr="001627B7" w:rsidRDefault="00110C2B" w:rsidP="002B13D9">
            <w:pPr>
              <w:spacing w:after="120" w:line="240" w:lineRule="auto"/>
              <w:jc w:val="both"/>
              <w:rPr>
                <w:rFonts w:ascii="Times New Roman" w:hAnsi="Times New Roman"/>
              </w:rPr>
            </w:pPr>
            <w:bookmarkStart w:id="13" w:name="_Hlk188347861"/>
            <w:r w:rsidRPr="00786CDD">
              <w:rPr>
                <w:rFonts w:ascii="Times New Roman" w:hAnsi="Times New Roman"/>
              </w:rPr>
              <w:t xml:space="preserve">Zakłada się, że wprowadzenie obowiązków dotyczących </w:t>
            </w:r>
            <w:r w:rsidR="006B26A5" w:rsidRPr="00786CDD">
              <w:rPr>
                <w:rFonts w:ascii="Times New Roman" w:hAnsi="Times New Roman"/>
              </w:rPr>
              <w:t>oceny przez organ właściwy analizy wykonywanej w celu określenia najostrzejszych możliwych do osiągnięcia granicznych wielkości emisyjnych</w:t>
            </w:r>
            <w:r w:rsidRPr="00786CDD">
              <w:rPr>
                <w:rFonts w:ascii="Times New Roman" w:hAnsi="Times New Roman"/>
              </w:rPr>
              <w:t xml:space="preserve">, </w:t>
            </w:r>
            <w:r w:rsidR="006B26A5" w:rsidRPr="00786CDD">
              <w:rPr>
                <w:rFonts w:ascii="Times New Roman" w:hAnsi="Times New Roman"/>
              </w:rPr>
              <w:t>zwiększonego udziału społeczeństwa w postępowaniu o wydanie lub zmianę pozwolenia zintegrowanego</w:t>
            </w:r>
            <w:r w:rsidRPr="00786CDD">
              <w:rPr>
                <w:rFonts w:ascii="Times New Roman" w:hAnsi="Times New Roman"/>
              </w:rPr>
              <w:t xml:space="preserve"> oraz </w:t>
            </w:r>
            <w:r w:rsidR="00A93092" w:rsidRPr="00786CDD">
              <w:rPr>
                <w:rFonts w:ascii="Times New Roman" w:hAnsi="Times New Roman"/>
              </w:rPr>
              <w:t xml:space="preserve">wydawanie pozwoleń zintegrowanych dla nowych instalacji (zidentyfikowanych zostało </w:t>
            </w:r>
            <w:r w:rsidR="0091281E" w:rsidRPr="00786CDD">
              <w:rPr>
                <w:rFonts w:ascii="Times New Roman" w:hAnsi="Times New Roman"/>
              </w:rPr>
              <w:t>39</w:t>
            </w:r>
            <w:r w:rsidR="0091281E">
              <w:rPr>
                <w:rFonts w:ascii="Times New Roman" w:hAnsi="Times New Roman"/>
              </w:rPr>
              <w:t>9</w:t>
            </w:r>
            <w:r w:rsidR="0091281E" w:rsidRPr="00786CDD">
              <w:rPr>
                <w:rFonts w:ascii="Times New Roman" w:hAnsi="Times New Roman"/>
              </w:rPr>
              <w:t xml:space="preserve"> </w:t>
            </w:r>
            <w:r w:rsidR="00A93092" w:rsidRPr="00786CDD">
              <w:rPr>
                <w:rFonts w:ascii="Times New Roman" w:hAnsi="Times New Roman"/>
              </w:rPr>
              <w:t>instalacji</w:t>
            </w:r>
            <w:r w:rsidR="00FE3A4C" w:rsidRPr="00786CDD">
              <w:rPr>
                <w:rFonts w:ascii="Times New Roman" w:hAnsi="Times New Roman"/>
              </w:rPr>
              <w:t>,</w:t>
            </w:r>
            <w:r w:rsidR="00A93092" w:rsidRPr="00786CDD">
              <w:rPr>
                <w:rFonts w:ascii="Times New Roman" w:hAnsi="Times New Roman"/>
              </w:rPr>
              <w:t xml:space="preserve"> co w skali </w:t>
            </w:r>
            <w:r w:rsidR="00FE3A4C" w:rsidRPr="00786CDD">
              <w:rPr>
                <w:rFonts w:ascii="Times New Roman" w:hAnsi="Times New Roman"/>
              </w:rPr>
              <w:t xml:space="preserve">wszystkich funkcjonujących aktualnie instalacji </w:t>
            </w:r>
            <w:r w:rsidR="00A93092" w:rsidRPr="00786CDD">
              <w:rPr>
                <w:rFonts w:ascii="Times New Roman" w:hAnsi="Times New Roman"/>
              </w:rPr>
              <w:t xml:space="preserve">stanowi </w:t>
            </w:r>
            <w:r w:rsidR="00FE3A4C" w:rsidRPr="00786CDD">
              <w:rPr>
                <w:rFonts w:ascii="Times New Roman" w:hAnsi="Times New Roman"/>
              </w:rPr>
              <w:t xml:space="preserve">około </w:t>
            </w:r>
            <w:r w:rsidR="00A93092" w:rsidRPr="00786CDD">
              <w:rPr>
                <w:rFonts w:ascii="Times New Roman" w:hAnsi="Times New Roman"/>
              </w:rPr>
              <w:t>9%)</w:t>
            </w:r>
            <w:r w:rsidRPr="00786CDD">
              <w:rPr>
                <w:rFonts w:ascii="Times New Roman" w:hAnsi="Times New Roman"/>
              </w:rPr>
              <w:t xml:space="preserve"> nie będzie miało </w:t>
            </w:r>
            <w:r w:rsidR="00A93092" w:rsidRPr="00786CDD">
              <w:rPr>
                <w:rFonts w:ascii="Times New Roman" w:hAnsi="Times New Roman"/>
              </w:rPr>
              <w:t xml:space="preserve">istotnego </w:t>
            </w:r>
            <w:r w:rsidRPr="00786CDD">
              <w:rPr>
                <w:rFonts w:ascii="Times New Roman" w:hAnsi="Times New Roman"/>
              </w:rPr>
              <w:t>wpływu na wzrost wydatków z budżetu państwa</w:t>
            </w:r>
            <w:r w:rsidR="00D12A04">
              <w:rPr>
                <w:rFonts w:ascii="Times New Roman" w:hAnsi="Times New Roman"/>
              </w:rPr>
              <w:t xml:space="preserve"> w zakresie zadań wykonywanych przez organy właściwe do wydania lub zmiany pozwoleń zintegrowanych</w:t>
            </w:r>
            <w:r w:rsidRPr="00786CDD">
              <w:rPr>
                <w:rFonts w:ascii="Times New Roman" w:hAnsi="Times New Roman"/>
              </w:rPr>
              <w:t xml:space="preserve">, gdyż powinno zostać wykonane z wykorzystaniem istniejących zasobów kadrowych i sprzętowych. Zwłaszcza, że projekt ustawy poprzez </w:t>
            </w:r>
            <w:r w:rsidR="00B04F8B" w:rsidRPr="00786CDD">
              <w:rPr>
                <w:rFonts w:ascii="Times New Roman" w:hAnsi="Times New Roman"/>
              </w:rPr>
              <w:t xml:space="preserve">planowane </w:t>
            </w:r>
            <w:r w:rsidRPr="00786CDD">
              <w:rPr>
                <w:rFonts w:ascii="Times New Roman" w:hAnsi="Times New Roman"/>
              </w:rPr>
              <w:t>wprowadzenie zapisów dotyczących:</w:t>
            </w:r>
          </w:p>
          <w:p w14:paraId="580E85C1" w14:textId="70C00A1F" w:rsidR="002458F3" w:rsidRDefault="00A93092" w:rsidP="002B13D9">
            <w:pPr>
              <w:pStyle w:val="Akapitzlist"/>
              <w:numPr>
                <w:ilvl w:val="0"/>
                <w:numId w:val="15"/>
              </w:numPr>
              <w:spacing w:after="120" w:line="240" w:lineRule="auto"/>
              <w:ind w:left="336" w:hanging="284"/>
              <w:jc w:val="both"/>
              <w:rPr>
                <w:rFonts w:ascii="Times New Roman" w:hAnsi="Times New Roman"/>
              </w:rPr>
            </w:pPr>
            <w:r w:rsidRPr="00786CDD">
              <w:rPr>
                <w:rFonts w:ascii="Times New Roman" w:hAnsi="Times New Roman"/>
              </w:rPr>
              <w:t>możliwości zastąpienia</w:t>
            </w:r>
            <w:r w:rsidR="002458F3">
              <w:rPr>
                <w:rFonts w:ascii="Times New Roman" w:hAnsi="Times New Roman"/>
              </w:rPr>
              <w:t xml:space="preserve"> </w:t>
            </w:r>
            <w:r w:rsidR="002458F3" w:rsidRPr="00786CDD">
              <w:rPr>
                <w:rFonts w:ascii="Times New Roman" w:hAnsi="Times New Roman"/>
              </w:rPr>
              <w:t>ogóln</w:t>
            </w:r>
            <w:r w:rsidR="002458F3">
              <w:rPr>
                <w:rFonts w:ascii="Times New Roman" w:hAnsi="Times New Roman"/>
              </w:rPr>
              <w:t>ie</w:t>
            </w:r>
            <w:r w:rsidR="002458F3" w:rsidRPr="00786CDD">
              <w:rPr>
                <w:rFonts w:ascii="Times New Roman" w:hAnsi="Times New Roman"/>
              </w:rPr>
              <w:t xml:space="preserve"> wiążącymi zasadami</w:t>
            </w:r>
            <w:r w:rsidR="002458F3">
              <w:rPr>
                <w:rFonts w:ascii="Times New Roman" w:hAnsi="Times New Roman"/>
              </w:rPr>
              <w:t xml:space="preserve"> (publikowanym w formie rozporządzenia)</w:t>
            </w:r>
            <w:r w:rsidRPr="00786CDD">
              <w:rPr>
                <w:rFonts w:ascii="Times New Roman" w:hAnsi="Times New Roman"/>
              </w:rPr>
              <w:t xml:space="preserve"> </w:t>
            </w:r>
            <w:r w:rsidR="002458F3">
              <w:rPr>
                <w:rFonts w:ascii="Times New Roman" w:hAnsi="Times New Roman"/>
              </w:rPr>
              <w:t>części zadań wykonywanych w zakresie dostosowania poz</w:t>
            </w:r>
            <w:r w:rsidR="009F05B4">
              <w:rPr>
                <w:rFonts w:ascii="Times New Roman" w:hAnsi="Times New Roman"/>
              </w:rPr>
              <w:t>wolen</w:t>
            </w:r>
            <w:r w:rsidR="002458F3">
              <w:rPr>
                <w:rFonts w:ascii="Times New Roman" w:hAnsi="Times New Roman"/>
              </w:rPr>
              <w:t xml:space="preserve">ia zintegrowanego do </w:t>
            </w:r>
            <w:r w:rsidR="009F05B4">
              <w:rPr>
                <w:rFonts w:ascii="Times New Roman" w:hAnsi="Times New Roman"/>
              </w:rPr>
              <w:t>k</w:t>
            </w:r>
            <w:r w:rsidR="002458F3">
              <w:rPr>
                <w:rFonts w:ascii="Times New Roman" w:hAnsi="Times New Roman"/>
              </w:rPr>
              <w:t xml:space="preserve">onkluzji BAT </w:t>
            </w:r>
            <w:r w:rsidR="00110C2B" w:rsidRPr="00786CDD">
              <w:rPr>
                <w:rFonts w:ascii="Times New Roman" w:hAnsi="Times New Roman"/>
              </w:rPr>
              <w:t>,</w:t>
            </w:r>
            <w:r w:rsidR="002458F3" w:rsidRPr="00786CDD">
              <w:rPr>
                <w:rFonts w:ascii="Times New Roman" w:hAnsi="Times New Roman"/>
              </w:rPr>
              <w:t xml:space="preserve"> </w:t>
            </w:r>
          </w:p>
          <w:p w14:paraId="6DDF14CB" w14:textId="0DC3BCB7" w:rsidR="002458F3" w:rsidRDefault="002458F3" w:rsidP="002B13D9">
            <w:pPr>
              <w:pStyle w:val="Akapitzlist"/>
              <w:numPr>
                <w:ilvl w:val="0"/>
                <w:numId w:val="15"/>
              </w:numPr>
              <w:spacing w:after="120" w:line="240" w:lineRule="auto"/>
              <w:ind w:left="336" w:hanging="284"/>
              <w:jc w:val="both"/>
              <w:rPr>
                <w:rFonts w:ascii="Times New Roman" w:hAnsi="Times New Roman"/>
              </w:rPr>
            </w:pPr>
            <w:r>
              <w:rPr>
                <w:rFonts w:ascii="Times New Roman" w:hAnsi="Times New Roman"/>
              </w:rPr>
              <w:t xml:space="preserve">doprecyzowania zasad uznawania wielkości dopuszczalnej emisji za dotrzymane </w:t>
            </w:r>
            <w:r w:rsidR="00DF0EDD">
              <w:rPr>
                <w:rFonts w:ascii="Times New Roman" w:hAnsi="Times New Roman"/>
              </w:rPr>
              <w:t xml:space="preserve">oraz sposobów oceny zasadności udzielenia odstępstwa od granicznych wielkości emisyjnych, </w:t>
            </w:r>
          </w:p>
          <w:p w14:paraId="5A6D2EF2" w14:textId="5C279B56" w:rsidR="00476E2D" w:rsidRDefault="00110C2B" w:rsidP="002B13D9">
            <w:pPr>
              <w:spacing w:after="120" w:line="240" w:lineRule="auto"/>
              <w:jc w:val="both"/>
              <w:rPr>
                <w:rFonts w:ascii="Times New Roman" w:hAnsi="Times New Roman"/>
              </w:rPr>
            </w:pPr>
            <w:r w:rsidRPr="00786CDD">
              <w:rPr>
                <w:rFonts w:ascii="Times New Roman" w:hAnsi="Times New Roman"/>
              </w:rPr>
              <w:t xml:space="preserve">spowoduje ograniczenie </w:t>
            </w:r>
            <w:r w:rsidR="002458F3">
              <w:rPr>
                <w:rFonts w:ascii="Times New Roman" w:hAnsi="Times New Roman"/>
              </w:rPr>
              <w:t>nakładu pracy niezbędnego</w:t>
            </w:r>
            <w:r w:rsidR="002458F3" w:rsidRPr="00786CDD">
              <w:rPr>
                <w:rFonts w:ascii="Times New Roman" w:hAnsi="Times New Roman"/>
              </w:rPr>
              <w:t xml:space="preserve"> </w:t>
            </w:r>
            <w:r w:rsidR="00C1071E" w:rsidRPr="00786CDD">
              <w:rPr>
                <w:rFonts w:ascii="Times New Roman" w:hAnsi="Times New Roman"/>
              </w:rPr>
              <w:t xml:space="preserve">na </w:t>
            </w:r>
            <w:r w:rsidRPr="00786CDD">
              <w:rPr>
                <w:rFonts w:ascii="Times New Roman" w:hAnsi="Times New Roman"/>
              </w:rPr>
              <w:t>wydawan</w:t>
            </w:r>
            <w:r w:rsidR="00C1071E" w:rsidRPr="00786CDD">
              <w:rPr>
                <w:rFonts w:ascii="Times New Roman" w:hAnsi="Times New Roman"/>
              </w:rPr>
              <w:t>ie</w:t>
            </w:r>
            <w:r w:rsidRPr="00786CDD">
              <w:rPr>
                <w:rFonts w:ascii="Times New Roman" w:hAnsi="Times New Roman"/>
              </w:rPr>
              <w:t xml:space="preserve"> </w:t>
            </w:r>
            <w:r w:rsidR="00C1071E" w:rsidRPr="00786CDD">
              <w:rPr>
                <w:rFonts w:ascii="Times New Roman" w:hAnsi="Times New Roman"/>
              </w:rPr>
              <w:t xml:space="preserve">lub zmianę </w:t>
            </w:r>
            <w:r w:rsidRPr="00786CDD">
              <w:rPr>
                <w:rFonts w:ascii="Times New Roman" w:hAnsi="Times New Roman"/>
              </w:rPr>
              <w:t>pozwoleń zintegrowanych</w:t>
            </w:r>
            <w:r w:rsidR="00C1071E" w:rsidRPr="00786CDD">
              <w:rPr>
                <w:rFonts w:ascii="Times New Roman" w:hAnsi="Times New Roman"/>
              </w:rPr>
              <w:t>.</w:t>
            </w:r>
          </w:p>
          <w:p w14:paraId="17A69FE3" w14:textId="51130A4A" w:rsidR="008E3D14" w:rsidRDefault="00391066" w:rsidP="002B13D9">
            <w:pPr>
              <w:spacing w:after="120" w:line="240" w:lineRule="auto"/>
              <w:jc w:val="both"/>
              <w:rPr>
                <w:rFonts w:ascii="Times New Roman" w:hAnsi="Times New Roman"/>
              </w:rPr>
            </w:pPr>
            <w:r>
              <w:rPr>
                <w:rFonts w:ascii="Times New Roman" w:hAnsi="Times New Roman"/>
              </w:rPr>
              <w:t xml:space="preserve">Przeniesienie wymagań wynikających z </w:t>
            </w:r>
            <w:r w:rsidR="00B4728F">
              <w:rPr>
                <w:rFonts w:ascii="Times New Roman" w:hAnsi="Times New Roman"/>
              </w:rPr>
              <w:t>k</w:t>
            </w:r>
            <w:r>
              <w:rPr>
                <w:rFonts w:ascii="Times New Roman" w:hAnsi="Times New Roman"/>
              </w:rPr>
              <w:t xml:space="preserve">onkluzji BAT na poziom rozporządzeń zdecydowanie przyspieszy proces wydawania/aktualizacji pozwoleń zintegrowanych chociażby z uwagi na zastąpienie etapu analizy i oceny tego jaka wielkość </w:t>
            </w:r>
            <w:r w:rsidR="005F581D">
              <w:rPr>
                <w:rFonts w:ascii="Times New Roman" w:hAnsi="Times New Roman"/>
              </w:rPr>
              <w:t xml:space="preserve">emisji z przedziału określonego w </w:t>
            </w:r>
            <w:r w:rsidR="00B4728F">
              <w:rPr>
                <w:rFonts w:ascii="Times New Roman" w:hAnsi="Times New Roman"/>
              </w:rPr>
              <w:t>k</w:t>
            </w:r>
            <w:r w:rsidR="005F581D">
              <w:rPr>
                <w:rFonts w:ascii="Times New Roman" w:hAnsi="Times New Roman"/>
              </w:rPr>
              <w:t>onkluzjach BAT ma zastosowanie do danej instalacji</w:t>
            </w:r>
            <w:r w:rsidR="008E3D14">
              <w:rPr>
                <w:rFonts w:ascii="Times New Roman" w:hAnsi="Times New Roman"/>
              </w:rPr>
              <w:t>. Szacuje się, że może to przyspieszyć proces o ok</w:t>
            </w:r>
            <w:r w:rsidR="00B4728F">
              <w:rPr>
                <w:rFonts w:ascii="Times New Roman" w:hAnsi="Times New Roman"/>
              </w:rPr>
              <w:t>.</w:t>
            </w:r>
            <w:r w:rsidR="008E3D14">
              <w:rPr>
                <w:rFonts w:ascii="Times New Roman" w:hAnsi="Times New Roman"/>
              </w:rPr>
              <w:t xml:space="preserve"> 3-4 miesiące</w:t>
            </w:r>
            <w:r w:rsidR="00B4728F">
              <w:rPr>
                <w:rFonts w:ascii="Times New Roman" w:hAnsi="Times New Roman"/>
              </w:rPr>
              <w:t>,</w:t>
            </w:r>
            <w:r w:rsidR="008E3D14">
              <w:rPr>
                <w:rFonts w:ascii="Times New Roman" w:hAnsi="Times New Roman"/>
              </w:rPr>
              <w:t xml:space="preserve"> a przypadku gdzie o</w:t>
            </w:r>
            <w:r w:rsidR="00B4728F">
              <w:rPr>
                <w:rFonts w:ascii="Times New Roman" w:hAnsi="Times New Roman"/>
              </w:rPr>
              <w:t>d</w:t>
            </w:r>
            <w:r w:rsidR="008E3D14">
              <w:rPr>
                <w:rFonts w:ascii="Times New Roman" w:hAnsi="Times New Roman"/>
              </w:rPr>
              <w:t xml:space="preserve"> decyzji organu wpłynęłoby odwołanie nawet kilkanaście miesięcy. Wskazanie dokładniejszych danych nie jest możliwe z uwagi na r</w:t>
            </w:r>
            <w:r w:rsidR="009F05B4">
              <w:rPr>
                <w:rFonts w:ascii="Times New Roman" w:hAnsi="Times New Roman"/>
              </w:rPr>
              <w:t>ó</w:t>
            </w:r>
            <w:r w:rsidR="008E3D14">
              <w:rPr>
                <w:rFonts w:ascii="Times New Roman" w:hAnsi="Times New Roman"/>
              </w:rPr>
              <w:t xml:space="preserve">żny stopień skomplikowania spraw, liczbę instalacji w poszczególnych województwach czy sposób organizacji pracy w poszczególnych urzędach. </w:t>
            </w:r>
            <w:r w:rsidR="005F581D">
              <w:rPr>
                <w:rFonts w:ascii="Times New Roman" w:hAnsi="Times New Roman"/>
              </w:rPr>
              <w:t xml:space="preserve"> </w:t>
            </w:r>
          </w:p>
          <w:p w14:paraId="076AC1AB" w14:textId="4F8C9E34" w:rsidR="00874A82" w:rsidRPr="00786CDD" w:rsidRDefault="00874A82" w:rsidP="002B13D9">
            <w:pPr>
              <w:spacing w:after="120" w:line="240" w:lineRule="auto"/>
              <w:jc w:val="both"/>
              <w:rPr>
                <w:rFonts w:ascii="Times New Roman" w:hAnsi="Times New Roman"/>
              </w:rPr>
            </w:pPr>
            <w:r>
              <w:rPr>
                <w:rFonts w:ascii="Times New Roman" w:hAnsi="Times New Roman"/>
              </w:rPr>
              <w:t xml:space="preserve">Natomiast proponowane zmiany dotyczące uznawania wielkości dopuszczalnej emisji za dotrzymane </w:t>
            </w:r>
            <w:r w:rsidR="009F05B4">
              <w:rPr>
                <w:rFonts w:ascii="Times New Roman" w:hAnsi="Times New Roman"/>
              </w:rPr>
              <w:t xml:space="preserve">poprzez </w:t>
            </w:r>
            <w:r>
              <w:rPr>
                <w:rFonts w:ascii="Times New Roman" w:hAnsi="Times New Roman"/>
              </w:rPr>
              <w:t xml:space="preserve">sam fakt </w:t>
            </w:r>
            <w:r w:rsidR="0012167A" w:rsidRPr="0012167A">
              <w:rPr>
                <w:rFonts w:ascii="Times New Roman" w:hAnsi="Times New Roman"/>
              </w:rPr>
              <w:t>rezygnacji z konieczności wykazywania zgodności z dotrzymywaniem standardów emisyjnych, w przypadku gdy zachowana jest zgodność z granicznymi wielkościami emisyjnymi BAT (które co do zasady są bardziej wymagające)</w:t>
            </w:r>
            <w:r w:rsidR="0012167A">
              <w:rPr>
                <w:rFonts w:ascii="Times New Roman" w:hAnsi="Times New Roman"/>
              </w:rPr>
              <w:t xml:space="preserve"> dla samego sektora energetycznego oszacowano na ok</w:t>
            </w:r>
            <w:r w:rsidR="00B4728F">
              <w:rPr>
                <w:rFonts w:ascii="Times New Roman" w:hAnsi="Times New Roman"/>
              </w:rPr>
              <w:t>.</w:t>
            </w:r>
            <w:r w:rsidR="0012167A">
              <w:rPr>
                <w:rFonts w:ascii="Times New Roman" w:hAnsi="Times New Roman"/>
              </w:rPr>
              <w:t xml:space="preserve"> 2 mln. zł rocznie. </w:t>
            </w:r>
          </w:p>
          <w:p w14:paraId="2ED5FBF8" w14:textId="7ED16FCD" w:rsidR="00B63826" w:rsidRPr="00B63826" w:rsidRDefault="00B63826" w:rsidP="002B13D9">
            <w:pPr>
              <w:spacing w:after="120" w:line="240" w:lineRule="auto"/>
              <w:jc w:val="both"/>
              <w:rPr>
                <w:rFonts w:ascii="Times New Roman" w:hAnsi="Times New Roman"/>
                <w:lang w:eastAsia="en-GB"/>
              </w:rPr>
            </w:pPr>
            <w:r w:rsidRPr="00B63826">
              <w:rPr>
                <w:rFonts w:ascii="Times New Roman" w:hAnsi="Times New Roman"/>
                <w:lang w:eastAsia="en-GB"/>
              </w:rPr>
              <w:t xml:space="preserve">W przypadku </w:t>
            </w:r>
            <w:r w:rsidR="009A551E">
              <w:rPr>
                <w:rFonts w:ascii="Times New Roman" w:hAnsi="Times New Roman"/>
                <w:lang w:eastAsia="en-GB"/>
              </w:rPr>
              <w:t>WIOŚ</w:t>
            </w:r>
            <w:r w:rsidR="009A551E" w:rsidRPr="00B63826">
              <w:rPr>
                <w:rFonts w:ascii="Times New Roman" w:hAnsi="Times New Roman"/>
                <w:lang w:eastAsia="en-GB"/>
              </w:rPr>
              <w:t xml:space="preserve"> </w:t>
            </w:r>
            <w:r w:rsidRPr="00B63826">
              <w:rPr>
                <w:rFonts w:ascii="Times New Roman" w:hAnsi="Times New Roman"/>
                <w:lang w:eastAsia="en-GB"/>
              </w:rPr>
              <w:t>nastąpi zwiększenie liczby kontroli, co będzie się wiązało również</w:t>
            </w:r>
            <w:r>
              <w:rPr>
                <w:rFonts w:ascii="Times New Roman" w:hAnsi="Times New Roman"/>
                <w:lang w:eastAsia="en-GB"/>
              </w:rPr>
              <w:t xml:space="preserve"> </w:t>
            </w:r>
            <w:r w:rsidRPr="00B63826">
              <w:rPr>
                <w:rFonts w:ascii="Times New Roman" w:hAnsi="Times New Roman"/>
                <w:lang w:eastAsia="en-GB"/>
              </w:rPr>
              <w:t>z koniecznością prowadzenia postępowań administracyjnych w przedmiocie wstrzymania</w:t>
            </w:r>
            <w:r>
              <w:rPr>
                <w:rFonts w:ascii="Times New Roman" w:hAnsi="Times New Roman"/>
                <w:lang w:eastAsia="en-GB"/>
              </w:rPr>
              <w:t xml:space="preserve"> </w:t>
            </w:r>
            <w:r w:rsidRPr="00B63826">
              <w:rPr>
                <w:rFonts w:ascii="Times New Roman" w:hAnsi="Times New Roman"/>
                <w:lang w:eastAsia="en-GB"/>
              </w:rPr>
              <w:t>użytkowania instalacji za brak pozwolenia zintegrowanego (jako organ I instancji). W przypadku</w:t>
            </w:r>
          </w:p>
          <w:p w14:paraId="64FA58DA" w14:textId="215C7F33" w:rsidR="008479A5" w:rsidRDefault="00B63826" w:rsidP="002B13D9">
            <w:pPr>
              <w:spacing w:after="120" w:line="240" w:lineRule="auto"/>
              <w:jc w:val="both"/>
              <w:rPr>
                <w:rFonts w:ascii="Times New Roman" w:hAnsi="Times New Roman"/>
                <w:lang w:eastAsia="en-GB"/>
              </w:rPr>
            </w:pPr>
            <w:r w:rsidRPr="00B63826">
              <w:rPr>
                <w:rFonts w:ascii="Times New Roman" w:hAnsi="Times New Roman"/>
                <w:lang w:eastAsia="en-GB"/>
              </w:rPr>
              <w:t xml:space="preserve">GIOŚ nastąpi wzrost liczby rozpatrywanych odwołań od decyzji </w:t>
            </w:r>
            <w:r w:rsidR="009A551E">
              <w:rPr>
                <w:rFonts w:ascii="Times New Roman" w:hAnsi="Times New Roman"/>
                <w:lang w:eastAsia="en-GB"/>
              </w:rPr>
              <w:t>WIOŚ</w:t>
            </w:r>
            <w:r w:rsidR="009A551E" w:rsidRPr="00B63826">
              <w:rPr>
                <w:rFonts w:ascii="Times New Roman" w:hAnsi="Times New Roman"/>
                <w:lang w:eastAsia="en-GB"/>
              </w:rPr>
              <w:t xml:space="preserve"> </w:t>
            </w:r>
            <w:r w:rsidRPr="00B63826">
              <w:rPr>
                <w:rFonts w:ascii="Times New Roman" w:hAnsi="Times New Roman"/>
                <w:lang w:eastAsia="en-GB"/>
              </w:rPr>
              <w:t>(jako organ II instancji), ale</w:t>
            </w:r>
            <w:r>
              <w:rPr>
                <w:rFonts w:ascii="Times New Roman" w:hAnsi="Times New Roman"/>
                <w:lang w:eastAsia="en-GB"/>
              </w:rPr>
              <w:t xml:space="preserve"> </w:t>
            </w:r>
            <w:r w:rsidRPr="00B63826">
              <w:rPr>
                <w:rFonts w:ascii="Times New Roman" w:hAnsi="Times New Roman"/>
                <w:lang w:eastAsia="en-GB"/>
              </w:rPr>
              <w:t xml:space="preserve">też nadzór nad działalnością kontrolną </w:t>
            </w:r>
            <w:r w:rsidR="009A551E">
              <w:rPr>
                <w:rFonts w:ascii="Times New Roman" w:hAnsi="Times New Roman"/>
                <w:lang w:eastAsia="en-GB"/>
              </w:rPr>
              <w:t>WIOŚ</w:t>
            </w:r>
            <w:r w:rsidR="009A551E" w:rsidRPr="00B63826">
              <w:rPr>
                <w:rFonts w:ascii="Times New Roman" w:hAnsi="Times New Roman"/>
                <w:lang w:eastAsia="en-GB"/>
              </w:rPr>
              <w:t xml:space="preserve"> </w:t>
            </w:r>
            <w:r w:rsidRPr="00B63826">
              <w:rPr>
                <w:rFonts w:ascii="Times New Roman" w:hAnsi="Times New Roman"/>
                <w:lang w:eastAsia="en-GB"/>
              </w:rPr>
              <w:t>będzie dotyczył większej liczby instalacji</w:t>
            </w:r>
            <w:r w:rsidR="00D945B8" w:rsidRPr="00786CDD">
              <w:rPr>
                <w:rFonts w:ascii="Times New Roman" w:hAnsi="Times New Roman"/>
                <w:lang w:eastAsia="en-GB"/>
              </w:rPr>
              <w:t>.</w:t>
            </w:r>
            <w:r>
              <w:rPr>
                <w:rFonts w:ascii="Times New Roman" w:hAnsi="Times New Roman"/>
                <w:lang w:eastAsia="en-GB"/>
              </w:rPr>
              <w:t xml:space="preserve"> K</w:t>
            </w:r>
            <w:r w:rsidRPr="00B63826">
              <w:rPr>
                <w:rFonts w:ascii="Times New Roman" w:hAnsi="Times New Roman"/>
                <w:lang w:eastAsia="en-GB"/>
              </w:rPr>
              <w:t xml:space="preserve">oszty projektu będą </w:t>
            </w:r>
            <w:r w:rsidR="00356064">
              <w:rPr>
                <w:rFonts w:ascii="Times New Roman" w:hAnsi="Times New Roman"/>
                <w:lang w:eastAsia="en-GB"/>
              </w:rPr>
              <w:t>realizowane</w:t>
            </w:r>
            <w:r>
              <w:rPr>
                <w:rFonts w:ascii="Times New Roman" w:hAnsi="Times New Roman"/>
                <w:lang w:eastAsia="en-GB"/>
              </w:rPr>
              <w:t xml:space="preserve"> </w:t>
            </w:r>
            <w:r w:rsidRPr="00B63826">
              <w:rPr>
                <w:rFonts w:ascii="Times New Roman" w:hAnsi="Times New Roman"/>
                <w:lang w:eastAsia="en-GB"/>
              </w:rPr>
              <w:t>w ramach limitu wydatków przewidzianego w ustawie budżetowej</w:t>
            </w:r>
            <w:r w:rsidR="00356064">
              <w:rPr>
                <w:rFonts w:ascii="Times New Roman" w:hAnsi="Times New Roman"/>
                <w:lang w:eastAsia="en-GB"/>
              </w:rPr>
              <w:t xml:space="preserve"> </w:t>
            </w:r>
            <w:r w:rsidRPr="00B63826">
              <w:rPr>
                <w:rFonts w:ascii="Times New Roman" w:hAnsi="Times New Roman"/>
                <w:lang w:eastAsia="en-GB"/>
              </w:rPr>
              <w:t>w części budżetowej</w:t>
            </w:r>
            <w:r>
              <w:rPr>
                <w:rFonts w:ascii="Times New Roman" w:hAnsi="Times New Roman"/>
                <w:lang w:eastAsia="en-GB"/>
              </w:rPr>
              <w:t xml:space="preserve"> 51 i 85.</w:t>
            </w:r>
            <w:r w:rsidR="00D945B8" w:rsidRPr="00786CDD">
              <w:rPr>
                <w:rFonts w:ascii="Times New Roman" w:hAnsi="Times New Roman"/>
                <w:lang w:eastAsia="en-GB"/>
              </w:rPr>
              <w:t xml:space="preserve"> W tabeli zamieszczone zostały informacje w zakresie kosztów wynagrodzenia inspekcji ochrony środowiska</w:t>
            </w:r>
            <w:r>
              <w:rPr>
                <w:rFonts w:ascii="Times New Roman" w:hAnsi="Times New Roman"/>
                <w:lang w:eastAsia="en-GB"/>
              </w:rPr>
              <w:t xml:space="preserve"> w podziale na koszty budżetu państwa w części 51 i 85</w:t>
            </w:r>
            <w:r w:rsidR="00D945B8" w:rsidRPr="00786CDD">
              <w:rPr>
                <w:rFonts w:ascii="Times New Roman" w:hAnsi="Times New Roman"/>
                <w:lang w:eastAsia="en-GB"/>
              </w:rPr>
              <w:t xml:space="preserve">. Liczbę etatów niezbędnych do objęcia tych podmiotów kontrolą z określoną częstotliwością wyliczono wg wzoru: liczba instalacji podzielona przez 3 (ponieważ kontrole są </w:t>
            </w:r>
            <w:r w:rsidR="00D945B8" w:rsidRPr="00786CDD">
              <w:rPr>
                <w:rFonts w:ascii="Times New Roman" w:hAnsi="Times New Roman"/>
                <w:lang w:eastAsia="en-GB"/>
              </w:rPr>
              <w:lastRenderedPageBreak/>
              <w:t xml:space="preserve">wykonywane co 3 lata), a następnie otrzymany wynik podzielono przez średnią liczbę kontroli na etat (czyli 14,6), a później wynik zaokrąglono w górę. </w:t>
            </w:r>
            <w:r w:rsidR="008479A5">
              <w:rPr>
                <w:rFonts w:ascii="Times New Roman" w:hAnsi="Times New Roman"/>
                <w:lang w:eastAsia="en-GB"/>
              </w:rPr>
              <w:t>W</w:t>
            </w:r>
            <w:r w:rsidR="008479A5" w:rsidRPr="008479A5">
              <w:rPr>
                <w:rFonts w:ascii="Times New Roman" w:hAnsi="Times New Roman"/>
                <w:lang w:eastAsia="en-GB"/>
              </w:rPr>
              <w:t>spółczynnik 14,6 kontroli wyliczono na jednego pracownika</w:t>
            </w:r>
            <w:r w:rsidR="008479A5">
              <w:rPr>
                <w:rFonts w:ascii="Times New Roman" w:hAnsi="Times New Roman"/>
                <w:lang w:eastAsia="en-GB"/>
              </w:rPr>
              <w:t xml:space="preserve"> </w:t>
            </w:r>
            <w:r w:rsidR="008479A5" w:rsidRPr="008479A5">
              <w:rPr>
                <w:rFonts w:ascii="Times New Roman" w:hAnsi="Times New Roman"/>
                <w:lang w:eastAsia="en-GB"/>
              </w:rPr>
              <w:t>poprzez podzielenie sumy kontroli zakładów w terenie, przeprowadzonych</w:t>
            </w:r>
            <w:r w:rsidR="008479A5">
              <w:rPr>
                <w:rFonts w:ascii="Times New Roman" w:hAnsi="Times New Roman"/>
                <w:lang w:eastAsia="en-GB"/>
              </w:rPr>
              <w:t xml:space="preserve"> </w:t>
            </w:r>
            <w:r w:rsidR="008479A5" w:rsidRPr="008479A5">
              <w:rPr>
                <w:rFonts w:ascii="Times New Roman" w:hAnsi="Times New Roman"/>
                <w:lang w:eastAsia="en-GB"/>
              </w:rPr>
              <w:t>w roku 2023 (w momencie przygotowywania danych GIOŚ nie posiadał informacji za rok</w:t>
            </w:r>
            <w:r w:rsidR="008479A5">
              <w:rPr>
                <w:rFonts w:ascii="Times New Roman" w:hAnsi="Times New Roman"/>
                <w:lang w:eastAsia="en-GB"/>
              </w:rPr>
              <w:t xml:space="preserve"> </w:t>
            </w:r>
            <w:r w:rsidR="008479A5" w:rsidRPr="008479A5">
              <w:rPr>
                <w:rFonts w:ascii="Times New Roman" w:hAnsi="Times New Roman"/>
                <w:lang w:eastAsia="en-GB"/>
              </w:rPr>
              <w:t>2024) przez średnioroczną liczbę zatrudnionych inspektorów IOŚ.</w:t>
            </w:r>
          </w:p>
          <w:p w14:paraId="3DF3AFCE" w14:textId="3F216670" w:rsidR="008479A5" w:rsidRPr="008479A5" w:rsidRDefault="00D945B8" w:rsidP="002B13D9">
            <w:pPr>
              <w:spacing w:after="120" w:line="240" w:lineRule="auto"/>
              <w:jc w:val="both"/>
              <w:rPr>
                <w:rFonts w:ascii="Times New Roman" w:hAnsi="Times New Roman"/>
                <w:lang w:eastAsia="en-GB"/>
              </w:rPr>
            </w:pPr>
            <w:r w:rsidRPr="00786CDD">
              <w:rPr>
                <w:rFonts w:ascii="Times New Roman" w:hAnsi="Times New Roman"/>
                <w:lang w:eastAsia="en-GB"/>
              </w:rPr>
              <w:t xml:space="preserve">Natomiast zwiększenie liczby instalacji objętych obowiązkiem uzyskania pozwolenia integrowanego spowoduje zarówno konieczność przeprowadzania przez </w:t>
            </w:r>
            <w:r w:rsidR="00AB1B23">
              <w:rPr>
                <w:rFonts w:ascii="Times New Roman" w:hAnsi="Times New Roman"/>
                <w:lang w:eastAsia="en-GB"/>
              </w:rPr>
              <w:t>W</w:t>
            </w:r>
            <w:r w:rsidRPr="00786CDD">
              <w:rPr>
                <w:rFonts w:ascii="Times New Roman" w:hAnsi="Times New Roman"/>
                <w:lang w:eastAsia="en-GB"/>
              </w:rPr>
              <w:t xml:space="preserve">ojewódzkich </w:t>
            </w:r>
            <w:r w:rsidR="00AB1B23">
              <w:rPr>
                <w:rFonts w:ascii="Times New Roman" w:hAnsi="Times New Roman"/>
                <w:lang w:eastAsia="en-GB"/>
              </w:rPr>
              <w:t>I</w:t>
            </w:r>
            <w:r w:rsidRPr="00786CDD">
              <w:rPr>
                <w:rFonts w:ascii="Times New Roman" w:hAnsi="Times New Roman"/>
                <w:lang w:eastAsia="en-GB"/>
              </w:rPr>
              <w:t xml:space="preserve">nspektorów </w:t>
            </w:r>
            <w:r w:rsidR="00AB1B23">
              <w:rPr>
                <w:rFonts w:ascii="Times New Roman" w:hAnsi="Times New Roman"/>
                <w:lang w:eastAsia="en-GB"/>
              </w:rPr>
              <w:t>O</w:t>
            </w:r>
            <w:r w:rsidRPr="00786CDD">
              <w:rPr>
                <w:rFonts w:ascii="Times New Roman" w:hAnsi="Times New Roman"/>
                <w:lang w:eastAsia="en-GB"/>
              </w:rPr>
              <w:t xml:space="preserve">chrony </w:t>
            </w:r>
            <w:r w:rsidR="00AB1B23">
              <w:rPr>
                <w:rFonts w:ascii="Times New Roman" w:hAnsi="Times New Roman"/>
                <w:lang w:eastAsia="en-GB"/>
              </w:rPr>
              <w:t>Ś</w:t>
            </w:r>
            <w:r w:rsidRPr="00786CDD">
              <w:rPr>
                <w:rFonts w:ascii="Times New Roman" w:hAnsi="Times New Roman"/>
                <w:lang w:eastAsia="en-GB"/>
              </w:rPr>
              <w:t>rodowiska kontroli</w:t>
            </w:r>
            <w:r w:rsidR="00B21F79">
              <w:rPr>
                <w:rFonts w:ascii="Times New Roman" w:hAnsi="Times New Roman"/>
                <w:lang w:eastAsia="en-GB"/>
              </w:rPr>
              <w:t xml:space="preserve"> </w:t>
            </w:r>
            <w:r w:rsidRPr="00786CDD">
              <w:rPr>
                <w:rFonts w:ascii="Times New Roman" w:hAnsi="Times New Roman"/>
                <w:lang w:eastAsia="en-GB"/>
              </w:rPr>
              <w:t>oraz konieczność prowadzenia postępowań administracyjnych w przedmiocie wstrzymania</w:t>
            </w:r>
            <w:r w:rsidR="00786CDD" w:rsidRPr="00786CDD">
              <w:rPr>
                <w:rFonts w:ascii="Times New Roman" w:hAnsi="Times New Roman"/>
                <w:lang w:eastAsia="en-GB"/>
              </w:rPr>
              <w:t xml:space="preserve"> </w:t>
            </w:r>
            <w:r w:rsidRPr="00786CDD">
              <w:rPr>
                <w:rFonts w:ascii="Times New Roman" w:hAnsi="Times New Roman"/>
                <w:lang w:eastAsia="en-GB"/>
              </w:rPr>
              <w:t xml:space="preserve">użytkowania instalacji za brak pozwolenia zintegrowanego (jako organ I instancji). </w:t>
            </w:r>
            <w:r w:rsidR="008479A5">
              <w:rPr>
                <w:rFonts w:ascii="Times New Roman" w:hAnsi="Times New Roman"/>
                <w:lang w:eastAsia="en-GB"/>
              </w:rPr>
              <w:t>Ś</w:t>
            </w:r>
            <w:r w:rsidR="008479A5" w:rsidRPr="008479A5">
              <w:rPr>
                <w:rFonts w:ascii="Times New Roman" w:hAnsi="Times New Roman"/>
                <w:lang w:eastAsia="en-GB"/>
              </w:rPr>
              <w:t>redni czas kontroli zakończonych</w:t>
            </w:r>
            <w:r w:rsidR="008479A5">
              <w:rPr>
                <w:rFonts w:ascii="Times New Roman" w:hAnsi="Times New Roman"/>
                <w:lang w:eastAsia="en-GB"/>
              </w:rPr>
              <w:t xml:space="preserve"> </w:t>
            </w:r>
            <w:r w:rsidR="008479A5" w:rsidRPr="008479A5">
              <w:rPr>
                <w:rFonts w:ascii="Times New Roman" w:hAnsi="Times New Roman"/>
                <w:lang w:eastAsia="en-GB"/>
              </w:rPr>
              <w:t>w 2024 r. podmiotów korzystających ze środowiska, posiadających pozwolenie</w:t>
            </w:r>
            <w:r w:rsidR="008479A5">
              <w:rPr>
                <w:rFonts w:ascii="Times New Roman" w:hAnsi="Times New Roman"/>
                <w:lang w:eastAsia="en-GB"/>
              </w:rPr>
              <w:t xml:space="preserve"> </w:t>
            </w:r>
            <w:r w:rsidR="008479A5" w:rsidRPr="008479A5">
              <w:rPr>
                <w:rFonts w:ascii="Times New Roman" w:hAnsi="Times New Roman"/>
                <w:lang w:eastAsia="en-GB"/>
              </w:rPr>
              <w:t xml:space="preserve">zintegrowane, to ok. </w:t>
            </w:r>
            <w:r w:rsidR="00570B95">
              <w:rPr>
                <w:rFonts w:ascii="Times New Roman" w:hAnsi="Times New Roman"/>
                <w:lang w:eastAsia="en-GB"/>
              </w:rPr>
              <w:t>20</w:t>
            </w:r>
            <w:r w:rsidR="008479A5" w:rsidRPr="008479A5">
              <w:rPr>
                <w:rFonts w:ascii="Times New Roman" w:hAnsi="Times New Roman"/>
                <w:lang w:eastAsia="en-GB"/>
              </w:rPr>
              <w:t>dni (wyliczony na podstawie dotychczasowych kontroli), natomiast</w:t>
            </w:r>
            <w:r w:rsidR="008479A5">
              <w:rPr>
                <w:rFonts w:ascii="Times New Roman" w:hAnsi="Times New Roman"/>
                <w:lang w:eastAsia="en-GB"/>
              </w:rPr>
              <w:t xml:space="preserve"> </w:t>
            </w:r>
            <w:r w:rsidR="008479A5" w:rsidRPr="008479A5">
              <w:rPr>
                <w:rFonts w:ascii="Times New Roman" w:hAnsi="Times New Roman"/>
                <w:lang w:eastAsia="en-GB"/>
              </w:rPr>
              <w:t>zakres ww. kontroli obejmuje kontrolę przestrzegania wszystkich warunków korzystania</w:t>
            </w:r>
            <w:r w:rsidR="008479A5">
              <w:rPr>
                <w:rFonts w:ascii="Times New Roman" w:hAnsi="Times New Roman"/>
                <w:lang w:eastAsia="en-GB"/>
              </w:rPr>
              <w:t xml:space="preserve"> </w:t>
            </w:r>
            <w:r w:rsidR="008479A5" w:rsidRPr="008479A5">
              <w:rPr>
                <w:rFonts w:ascii="Times New Roman" w:hAnsi="Times New Roman"/>
                <w:lang w:eastAsia="en-GB"/>
              </w:rPr>
              <w:t>ze środowiska określonych w ww. pozwoleniu zintegrowanym.</w:t>
            </w:r>
          </w:p>
          <w:p w14:paraId="3A4EDF59" w14:textId="7805789B" w:rsidR="00D945B8" w:rsidRPr="00786CDD" w:rsidRDefault="00D945B8" w:rsidP="002B13D9">
            <w:pPr>
              <w:spacing w:after="120" w:line="240" w:lineRule="auto"/>
              <w:jc w:val="both"/>
              <w:rPr>
                <w:rFonts w:ascii="Times New Roman" w:hAnsi="Times New Roman"/>
                <w:lang w:eastAsia="en-GB"/>
              </w:rPr>
            </w:pPr>
            <w:r w:rsidRPr="00786CDD">
              <w:rPr>
                <w:rFonts w:ascii="Times New Roman" w:hAnsi="Times New Roman"/>
                <w:lang w:eastAsia="en-GB"/>
              </w:rPr>
              <w:t>Wobec</w:t>
            </w:r>
            <w:r w:rsidR="00786CDD" w:rsidRPr="00786CDD">
              <w:rPr>
                <w:rFonts w:ascii="Times New Roman" w:hAnsi="Times New Roman"/>
                <w:lang w:eastAsia="en-GB"/>
              </w:rPr>
              <w:t xml:space="preserve"> </w:t>
            </w:r>
            <w:r w:rsidRPr="00786CDD">
              <w:rPr>
                <w:rFonts w:ascii="Times New Roman" w:hAnsi="Times New Roman"/>
                <w:lang w:eastAsia="en-GB"/>
              </w:rPr>
              <w:t>powyższego otrzymaną wg powyższego wzoru liczbę etatów zwiększono dwukrotnie, ponieważ</w:t>
            </w:r>
            <w:r w:rsidR="00786CDD" w:rsidRPr="00786CDD">
              <w:rPr>
                <w:rFonts w:ascii="Times New Roman" w:hAnsi="Times New Roman"/>
                <w:lang w:eastAsia="en-GB"/>
              </w:rPr>
              <w:t xml:space="preserve"> </w:t>
            </w:r>
            <w:r w:rsidRPr="00786CDD">
              <w:rPr>
                <w:rFonts w:ascii="Times New Roman" w:hAnsi="Times New Roman"/>
                <w:lang w:eastAsia="en-GB"/>
              </w:rPr>
              <w:t>za prowadzenie kontroli odpowiadają inspektorzy IOŚ natomiast prowadzeniem postępowań</w:t>
            </w:r>
            <w:r w:rsidR="00786CDD" w:rsidRPr="00786CDD">
              <w:rPr>
                <w:rFonts w:ascii="Times New Roman" w:hAnsi="Times New Roman"/>
                <w:lang w:eastAsia="en-GB"/>
              </w:rPr>
              <w:t xml:space="preserve"> </w:t>
            </w:r>
            <w:r w:rsidRPr="00786CDD">
              <w:rPr>
                <w:rFonts w:ascii="Times New Roman" w:hAnsi="Times New Roman"/>
                <w:lang w:eastAsia="en-GB"/>
              </w:rPr>
              <w:t xml:space="preserve">administracyjnych i wydawaniem decyzji w większości </w:t>
            </w:r>
            <w:r w:rsidR="009A551E">
              <w:rPr>
                <w:rFonts w:ascii="Times New Roman" w:hAnsi="Times New Roman"/>
                <w:lang w:eastAsia="en-GB"/>
              </w:rPr>
              <w:t>WIOŚ</w:t>
            </w:r>
            <w:r w:rsidR="009A551E" w:rsidRPr="00786CDD">
              <w:rPr>
                <w:rFonts w:ascii="Times New Roman" w:hAnsi="Times New Roman"/>
                <w:lang w:eastAsia="en-GB"/>
              </w:rPr>
              <w:t xml:space="preserve"> </w:t>
            </w:r>
            <w:r w:rsidRPr="00786CDD">
              <w:rPr>
                <w:rFonts w:ascii="Times New Roman" w:hAnsi="Times New Roman"/>
                <w:lang w:eastAsia="en-GB"/>
              </w:rPr>
              <w:t>zajmują się pracownicy wydziałów</w:t>
            </w:r>
            <w:r w:rsidR="00786CDD" w:rsidRPr="00786CDD">
              <w:rPr>
                <w:rFonts w:ascii="Times New Roman" w:hAnsi="Times New Roman"/>
                <w:lang w:eastAsia="en-GB"/>
              </w:rPr>
              <w:t xml:space="preserve"> </w:t>
            </w:r>
            <w:r w:rsidRPr="00786CDD">
              <w:rPr>
                <w:rFonts w:ascii="Times New Roman" w:hAnsi="Times New Roman"/>
                <w:lang w:eastAsia="en-GB"/>
              </w:rPr>
              <w:t>prawnych (prawnicy/radcy prawni), zatem nie są to te same osoby.</w:t>
            </w:r>
            <w:r w:rsidR="00707039" w:rsidRPr="00786CDD">
              <w:rPr>
                <w:rFonts w:ascii="Times New Roman" w:hAnsi="Times New Roman"/>
                <w:lang w:eastAsia="en-GB"/>
              </w:rPr>
              <w:t xml:space="preserve"> W wyniku przedstawionych szacunków określono liczbę koniecznych nowych etatów dla </w:t>
            </w:r>
            <w:r w:rsidR="009A551E">
              <w:rPr>
                <w:rFonts w:ascii="Times New Roman" w:hAnsi="Times New Roman"/>
                <w:lang w:eastAsia="en-GB"/>
              </w:rPr>
              <w:t>WIOŚ</w:t>
            </w:r>
            <w:r w:rsidR="009A551E" w:rsidRPr="00786CDD">
              <w:rPr>
                <w:rFonts w:ascii="Times New Roman" w:hAnsi="Times New Roman"/>
                <w:lang w:eastAsia="en-GB"/>
              </w:rPr>
              <w:t xml:space="preserve"> </w:t>
            </w:r>
            <w:r w:rsidR="00707039" w:rsidRPr="00786CDD">
              <w:rPr>
                <w:rFonts w:ascii="Times New Roman" w:hAnsi="Times New Roman"/>
                <w:lang w:eastAsia="en-GB"/>
              </w:rPr>
              <w:t>– 21,5</w:t>
            </w:r>
            <w:r w:rsidR="000312A1">
              <w:rPr>
                <w:rFonts w:ascii="Times New Roman" w:hAnsi="Times New Roman"/>
                <w:lang w:eastAsia="en-GB"/>
              </w:rPr>
              <w:t xml:space="preserve"> (wydatek z części budżetowej 85)</w:t>
            </w:r>
            <w:r w:rsidR="00707039" w:rsidRPr="00786CDD">
              <w:rPr>
                <w:rFonts w:ascii="Times New Roman" w:hAnsi="Times New Roman"/>
                <w:lang w:eastAsia="en-GB"/>
              </w:rPr>
              <w:t>.</w:t>
            </w:r>
            <w:r w:rsidR="00E40B9E" w:rsidRPr="00786CDD">
              <w:rPr>
                <w:rFonts w:ascii="Times New Roman" w:hAnsi="Times New Roman"/>
                <w:lang w:eastAsia="en-GB"/>
              </w:rPr>
              <w:t xml:space="preserve"> </w:t>
            </w:r>
            <w:r w:rsidR="00707039" w:rsidRPr="00786CDD">
              <w:rPr>
                <w:rFonts w:ascii="Times New Roman" w:hAnsi="Times New Roman"/>
                <w:lang w:eastAsia="en-GB"/>
              </w:rPr>
              <w:t>Dodatkowo uwzględnione zostały dwa etaty w GIOŚ</w:t>
            </w:r>
            <w:r w:rsidR="000312A1">
              <w:rPr>
                <w:rFonts w:ascii="Times New Roman" w:hAnsi="Times New Roman"/>
                <w:lang w:eastAsia="en-GB"/>
              </w:rPr>
              <w:t xml:space="preserve"> (wydatek z części budżetowej 51)</w:t>
            </w:r>
            <w:r w:rsidR="00707039" w:rsidRPr="00786CDD">
              <w:rPr>
                <w:rFonts w:ascii="Times New Roman" w:hAnsi="Times New Roman"/>
                <w:lang w:eastAsia="en-GB"/>
              </w:rPr>
              <w:t xml:space="preserve">. </w:t>
            </w:r>
            <w:r w:rsidR="00786CDD">
              <w:rPr>
                <w:rFonts w:ascii="Times New Roman" w:hAnsi="Times New Roman"/>
                <w:lang w:eastAsia="en-GB"/>
              </w:rPr>
              <w:t>W sumie liczba etatów koniecznych do zapewnienia w inspekcji ochrony środowiska to 23,5.</w:t>
            </w:r>
            <w:r w:rsidR="00D958D0">
              <w:rPr>
                <w:rFonts w:ascii="Times New Roman" w:hAnsi="Times New Roman"/>
                <w:lang w:eastAsia="en-GB"/>
              </w:rPr>
              <w:t xml:space="preserve"> </w:t>
            </w:r>
            <w:r w:rsidR="000312A1">
              <w:rPr>
                <w:rFonts w:ascii="Times New Roman" w:hAnsi="Times New Roman"/>
                <w:lang w:eastAsia="en-GB"/>
              </w:rPr>
              <w:t>Konieczność zapewnienia etatów została określona na 2030 rok, ponieważ w</w:t>
            </w:r>
            <w:r w:rsidR="00D958D0">
              <w:rPr>
                <w:rFonts w:ascii="Times New Roman" w:hAnsi="Times New Roman"/>
                <w:lang w:eastAsia="en-GB"/>
              </w:rPr>
              <w:t xml:space="preserve">iększość nowych instalacji, które będą objęte obowiązkiem uzyskania pozwolenia zintegrowanego to instalacje do chowu drobiu i świń, </w:t>
            </w:r>
            <w:r w:rsidR="000312A1">
              <w:rPr>
                <w:rFonts w:ascii="Times New Roman" w:hAnsi="Times New Roman"/>
                <w:lang w:eastAsia="en-GB"/>
              </w:rPr>
              <w:t>dla których obowiązek uzyskania pozwolenia został określony na 01.09.20230 r.</w:t>
            </w:r>
            <w:r w:rsidR="00D958D0">
              <w:rPr>
                <w:rFonts w:ascii="Times New Roman" w:hAnsi="Times New Roman"/>
                <w:lang w:eastAsia="en-GB"/>
              </w:rPr>
              <w:t xml:space="preserve"> </w:t>
            </w:r>
          </w:p>
          <w:p w14:paraId="22A12078" w14:textId="613F1EA5" w:rsidR="00AC0FB5" w:rsidRDefault="00AC0FB5" w:rsidP="002B13D9">
            <w:pPr>
              <w:spacing w:after="120" w:line="240" w:lineRule="auto"/>
              <w:jc w:val="both"/>
              <w:rPr>
                <w:rFonts w:ascii="Times New Roman" w:hAnsi="Times New Roman"/>
                <w:lang w:eastAsia="en-GB"/>
              </w:rPr>
            </w:pPr>
            <w:r>
              <w:rPr>
                <w:rFonts w:ascii="Times New Roman" w:hAnsi="Times New Roman"/>
                <w:lang w:eastAsia="en-GB"/>
              </w:rPr>
              <w:t xml:space="preserve">Liczba etatów w podziale na poszczególne </w:t>
            </w:r>
            <w:r w:rsidR="00AB1B23">
              <w:rPr>
                <w:rFonts w:ascii="Times New Roman" w:hAnsi="Times New Roman"/>
                <w:lang w:eastAsia="en-GB"/>
              </w:rPr>
              <w:t>W</w:t>
            </w:r>
            <w:r>
              <w:rPr>
                <w:rFonts w:ascii="Times New Roman" w:hAnsi="Times New Roman"/>
                <w:lang w:eastAsia="en-GB"/>
              </w:rPr>
              <w:t xml:space="preserve">ojewódzkie </w:t>
            </w:r>
            <w:r w:rsidR="00AB1B23">
              <w:rPr>
                <w:rFonts w:ascii="Times New Roman" w:hAnsi="Times New Roman"/>
                <w:lang w:eastAsia="en-GB"/>
              </w:rPr>
              <w:t>I</w:t>
            </w:r>
            <w:r>
              <w:rPr>
                <w:rFonts w:ascii="Times New Roman" w:hAnsi="Times New Roman"/>
                <w:lang w:eastAsia="en-GB"/>
              </w:rPr>
              <w:t xml:space="preserve">nspektoraty </w:t>
            </w:r>
            <w:r w:rsidR="00AB1B23">
              <w:rPr>
                <w:rFonts w:ascii="Times New Roman" w:hAnsi="Times New Roman"/>
                <w:lang w:eastAsia="en-GB"/>
              </w:rPr>
              <w:t>O</w:t>
            </w:r>
            <w:r>
              <w:rPr>
                <w:rFonts w:ascii="Times New Roman" w:hAnsi="Times New Roman"/>
                <w:lang w:eastAsia="en-GB"/>
              </w:rPr>
              <w:t xml:space="preserve">chrony </w:t>
            </w:r>
            <w:r w:rsidR="00AB1B23">
              <w:rPr>
                <w:rFonts w:ascii="Times New Roman" w:hAnsi="Times New Roman"/>
                <w:lang w:eastAsia="en-GB"/>
              </w:rPr>
              <w:t>Ś</w:t>
            </w:r>
            <w:r>
              <w:rPr>
                <w:rFonts w:ascii="Times New Roman" w:hAnsi="Times New Roman"/>
                <w:lang w:eastAsia="en-GB"/>
              </w:rPr>
              <w:t>rodowiska:</w:t>
            </w:r>
          </w:p>
          <w:tbl>
            <w:tblPr>
              <w:tblW w:w="4444" w:type="dxa"/>
              <w:tblCellMar>
                <w:left w:w="70" w:type="dxa"/>
                <w:right w:w="70" w:type="dxa"/>
              </w:tblCellMar>
              <w:tblLook w:val="04A0" w:firstRow="1" w:lastRow="0" w:firstColumn="1" w:lastColumn="0" w:noHBand="0" w:noVBand="1"/>
            </w:tblPr>
            <w:tblGrid>
              <w:gridCol w:w="2120"/>
              <w:gridCol w:w="1140"/>
              <w:gridCol w:w="1184"/>
            </w:tblGrid>
            <w:tr w:rsidR="007003AC" w:rsidRPr="007003AC" w14:paraId="315E6FBD" w14:textId="77777777" w:rsidTr="007003AC">
              <w:trPr>
                <w:trHeight w:val="780"/>
              </w:trPr>
              <w:tc>
                <w:tcPr>
                  <w:tcW w:w="21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80E0ED" w14:textId="77777777" w:rsidR="007003AC" w:rsidRPr="004B6A22" w:rsidRDefault="007003AC" w:rsidP="002B13D9">
                  <w:pPr>
                    <w:spacing w:after="120" w:line="240" w:lineRule="auto"/>
                    <w:jc w:val="center"/>
                    <w:rPr>
                      <w:rFonts w:ascii="Times New Roman" w:eastAsia="Times New Roman" w:hAnsi="Times New Roman"/>
                      <w:b/>
                      <w:bCs/>
                      <w:color w:val="000000"/>
                      <w:lang w:eastAsia="pl-PL"/>
                    </w:rPr>
                  </w:pPr>
                  <w:r w:rsidRPr="004B6A22">
                    <w:rPr>
                      <w:rFonts w:ascii="Times New Roman" w:eastAsia="Times New Roman" w:hAnsi="Times New Roman"/>
                      <w:b/>
                      <w:bCs/>
                      <w:color w:val="000000"/>
                      <w:lang w:eastAsia="pl-PL"/>
                    </w:rPr>
                    <w:t>województwo</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741C68E" w14:textId="29E33424" w:rsidR="007003AC" w:rsidRPr="004B6A22" w:rsidRDefault="007003AC" w:rsidP="002B13D9">
                  <w:pPr>
                    <w:spacing w:after="120" w:line="240" w:lineRule="auto"/>
                    <w:jc w:val="center"/>
                    <w:rPr>
                      <w:rFonts w:ascii="Times New Roman" w:eastAsia="Times New Roman" w:hAnsi="Times New Roman"/>
                      <w:b/>
                      <w:bCs/>
                      <w:color w:val="000000"/>
                      <w:sz w:val="20"/>
                      <w:szCs w:val="20"/>
                      <w:lang w:eastAsia="pl-PL"/>
                    </w:rPr>
                  </w:pPr>
                  <w:r w:rsidRPr="004B6A22">
                    <w:rPr>
                      <w:rFonts w:ascii="Times New Roman" w:eastAsia="Times New Roman" w:hAnsi="Times New Roman"/>
                      <w:b/>
                      <w:bCs/>
                      <w:color w:val="000000"/>
                      <w:sz w:val="20"/>
                      <w:szCs w:val="20"/>
                      <w:lang w:eastAsia="pl-PL"/>
                    </w:rPr>
                    <w:t>liczba nowych instalacji</w:t>
                  </w:r>
                </w:p>
              </w:tc>
              <w:tc>
                <w:tcPr>
                  <w:tcW w:w="118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16B02FC" w14:textId="4D8795F4" w:rsidR="007003AC" w:rsidRPr="004B6A22" w:rsidRDefault="007003AC" w:rsidP="002B13D9">
                  <w:pPr>
                    <w:spacing w:after="120" w:line="240" w:lineRule="auto"/>
                    <w:jc w:val="center"/>
                    <w:rPr>
                      <w:rFonts w:ascii="Times New Roman" w:eastAsia="Times New Roman" w:hAnsi="Times New Roman"/>
                      <w:b/>
                      <w:bCs/>
                      <w:color w:val="000000"/>
                      <w:sz w:val="20"/>
                      <w:szCs w:val="20"/>
                      <w:lang w:eastAsia="pl-PL"/>
                    </w:rPr>
                  </w:pPr>
                  <w:r w:rsidRPr="004B6A22">
                    <w:rPr>
                      <w:rFonts w:ascii="Times New Roman" w:eastAsia="Times New Roman" w:hAnsi="Times New Roman"/>
                      <w:b/>
                      <w:bCs/>
                      <w:color w:val="000000"/>
                      <w:sz w:val="20"/>
                      <w:szCs w:val="20"/>
                      <w:lang w:eastAsia="pl-PL"/>
                    </w:rPr>
                    <w:t xml:space="preserve">liczba etatów w </w:t>
                  </w:r>
                  <w:r w:rsidR="009A551E">
                    <w:rPr>
                      <w:rFonts w:ascii="Times New Roman" w:eastAsia="Times New Roman" w:hAnsi="Times New Roman"/>
                      <w:b/>
                      <w:bCs/>
                      <w:color w:val="000000"/>
                      <w:sz w:val="20"/>
                      <w:szCs w:val="20"/>
                      <w:lang w:eastAsia="pl-PL"/>
                    </w:rPr>
                    <w:t>WIOŚ</w:t>
                  </w:r>
                </w:p>
              </w:tc>
            </w:tr>
            <w:tr w:rsidR="007003AC" w:rsidRPr="007003AC" w14:paraId="3393E672"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EF1789C"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 xml:space="preserve">dolnośląskie </w:t>
                  </w:r>
                </w:p>
              </w:tc>
              <w:tc>
                <w:tcPr>
                  <w:tcW w:w="1140" w:type="dxa"/>
                  <w:tcBorders>
                    <w:top w:val="nil"/>
                    <w:left w:val="nil"/>
                    <w:bottom w:val="single" w:sz="4" w:space="0" w:color="auto"/>
                    <w:right w:val="single" w:sz="4" w:space="0" w:color="auto"/>
                  </w:tcBorders>
                  <w:vAlign w:val="bottom"/>
                  <w:hideMark/>
                </w:tcPr>
                <w:p w14:paraId="60ACAF11" w14:textId="2EEA17F4"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4</w:t>
                  </w:r>
                  <w:r w:rsidR="00CB1157">
                    <w:rPr>
                      <w:rFonts w:ascii="Times New Roman" w:eastAsia="Times New Roman" w:hAnsi="Times New Roman"/>
                      <w:color w:val="000000"/>
                      <w:sz w:val="20"/>
                      <w:szCs w:val="20"/>
                      <w:lang w:eastAsia="pl-PL"/>
                    </w:rPr>
                    <w:t>5</w:t>
                  </w:r>
                </w:p>
              </w:tc>
              <w:tc>
                <w:tcPr>
                  <w:tcW w:w="1184" w:type="dxa"/>
                  <w:tcBorders>
                    <w:top w:val="nil"/>
                    <w:left w:val="nil"/>
                    <w:bottom w:val="single" w:sz="4" w:space="0" w:color="auto"/>
                    <w:right w:val="single" w:sz="4" w:space="0" w:color="auto"/>
                  </w:tcBorders>
                  <w:vAlign w:val="bottom"/>
                  <w:hideMark/>
                </w:tcPr>
                <w:p w14:paraId="5BC51A6E"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2</w:t>
                  </w:r>
                </w:p>
              </w:tc>
            </w:tr>
            <w:tr w:rsidR="007003AC" w:rsidRPr="007003AC" w14:paraId="6075FDFB"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vAlign w:val="center"/>
                  <w:hideMark/>
                </w:tcPr>
                <w:p w14:paraId="4BFC8040"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kujawsko-pomorskie</w:t>
                  </w:r>
                </w:p>
              </w:tc>
              <w:tc>
                <w:tcPr>
                  <w:tcW w:w="1140" w:type="dxa"/>
                  <w:tcBorders>
                    <w:top w:val="nil"/>
                    <w:left w:val="nil"/>
                    <w:bottom w:val="single" w:sz="4" w:space="0" w:color="auto"/>
                    <w:right w:val="single" w:sz="4" w:space="0" w:color="auto"/>
                  </w:tcBorders>
                  <w:vAlign w:val="bottom"/>
                  <w:hideMark/>
                </w:tcPr>
                <w:p w14:paraId="30D0F31D"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53</w:t>
                  </w:r>
                </w:p>
              </w:tc>
              <w:tc>
                <w:tcPr>
                  <w:tcW w:w="1184" w:type="dxa"/>
                  <w:tcBorders>
                    <w:top w:val="nil"/>
                    <w:left w:val="nil"/>
                    <w:bottom w:val="single" w:sz="4" w:space="0" w:color="auto"/>
                    <w:right w:val="single" w:sz="4" w:space="0" w:color="auto"/>
                  </w:tcBorders>
                  <w:vAlign w:val="bottom"/>
                  <w:hideMark/>
                </w:tcPr>
                <w:p w14:paraId="5B0B6D89"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3</w:t>
                  </w:r>
                </w:p>
              </w:tc>
            </w:tr>
            <w:tr w:rsidR="007003AC" w:rsidRPr="007003AC" w14:paraId="444087A9"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299D5E87"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lubelskie</w:t>
                  </w:r>
                </w:p>
              </w:tc>
              <w:tc>
                <w:tcPr>
                  <w:tcW w:w="1140" w:type="dxa"/>
                  <w:tcBorders>
                    <w:top w:val="nil"/>
                    <w:left w:val="nil"/>
                    <w:bottom w:val="single" w:sz="4" w:space="0" w:color="auto"/>
                    <w:right w:val="single" w:sz="4" w:space="0" w:color="auto"/>
                  </w:tcBorders>
                  <w:vAlign w:val="bottom"/>
                  <w:hideMark/>
                </w:tcPr>
                <w:p w14:paraId="15401A71"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6</w:t>
                  </w:r>
                </w:p>
              </w:tc>
              <w:tc>
                <w:tcPr>
                  <w:tcW w:w="1184" w:type="dxa"/>
                  <w:tcBorders>
                    <w:top w:val="nil"/>
                    <w:left w:val="nil"/>
                    <w:bottom w:val="single" w:sz="4" w:space="0" w:color="auto"/>
                    <w:right w:val="single" w:sz="4" w:space="0" w:color="auto"/>
                  </w:tcBorders>
                  <w:vAlign w:val="bottom"/>
                  <w:hideMark/>
                </w:tcPr>
                <w:p w14:paraId="574319C5"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0,5</w:t>
                  </w:r>
                </w:p>
              </w:tc>
            </w:tr>
            <w:tr w:rsidR="007003AC" w:rsidRPr="007003AC" w14:paraId="7047252D"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7AA14A37"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lubuskie</w:t>
                  </w:r>
                </w:p>
              </w:tc>
              <w:tc>
                <w:tcPr>
                  <w:tcW w:w="1140" w:type="dxa"/>
                  <w:tcBorders>
                    <w:top w:val="nil"/>
                    <w:left w:val="nil"/>
                    <w:bottom w:val="single" w:sz="4" w:space="0" w:color="auto"/>
                    <w:right w:val="single" w:sz="4" w:space="0" w:color="auto"/>
                  </w:tcBorders>
                  <w:vAlign w:val="bottom"/>
                  <w:hideMark/>
                </w:tcPr>
                <w:p w14:paraId="18A9086F"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23</w:t>
                  </w:r>
                </w:p>
              </w:tc>
              <w:tc>
                <w:tcPr>
                  <w:tcW w:w="1184" w:type="dxa"/>
                  <w:tcBorders>
                    <w:top w:val="nil"/>
                    <w:left w:val="nil"/>
                    <w:bottom w:val="single" w:sz="4" w:space="0" w:color="auto"/>
                    <w:right w:val="single" w:sz="4" w:space="0" w:color="auto"/>
                  </w:tcBorders>
                  <w:vAlign w:val="bottom"/>
                  <w:hideMark/>
                </w:tcPr>
                <w:p w14:paraId="27B545E5"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1</w:t>
                  </w:r>
                </w:p>
              </w:tc>
            </w:tr>
            <w:tr w:rsidR="007003AC" w:rsidRPr="007003AC" w14:paraId="414C3B72"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746A1805"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łódzkie</w:t>
                  </w:r>
                </w:p>
              </w:tc>
              <w:tc>
                <w:tcPr>
                  <w:tcW w:w="1140" w:type="dxa"/>
                  <w:tcBorders>
                    <w:top w:val="nil"/>
                    <w:left w:val="nil"/>
                    <w:bottom w:val="single" w:sz="4" w:space="0" w:color="auto"/>
                    <w:right w:val="single" w:sz="4" w:space="0" w:color="auto"/>
                  </w:tcBorders>
                  <w:vAlign w:val="bottom"/>
                  <w:hideMark/>
                </w:tcPr>
                <w:p w14:paraId="25286E94"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7</w:t>
                  </w:r>
                </w:p>
              </w:tc>
              <w:tc>
                <w:tcPr>
                  <w:tcW w:w="1184" w:type="dxa"/>
                  <w:tcBorders>
                    <w:top w:val="nil"/>
                    <w:left w:val="nil"/>
                    <w:bottom w:val="single" w:sz="4" w:space="0" w:color="auto"/>
                    <w:right w:val="single" w:sz="4" w:space="0" w:color="auto"/>
                  </w:tcBorders>
                  <w:vAlign w:val="bottom"/>
                  <w:hideMark/>
                </w:tcPr>
                <w:p w14:paraId="1B26F9DC"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0,5</w:t>
                  </w:r>
                </w:p>
              </w:tc>
            </w:tr>
            <w:tr w:rsidR="007003AC" w:rsidRPr="007003AC" w14:paraId="39138041"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24916C0B"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małopolskie</w:t>
                  </w:r>
                </w:p>
              </w:tc>
              <w:tc>
                <w:tcPr>
                  <w:tcW w:w="1140" w:type="dxa"/>
                  <w:tcBorders>
                    <w:top w:val="nil"/>
                    <w:left w:val="nil"/>
                    <w:bottom w:val="single" w:sz="4" w:space="0" w:color="auto"/>
                    <w:right w:val="single" w:sz="4" w:space="0" w:color="auto"/>
                  </w:tcBorders>
                  <w:vAlign w:val="bottom"/>
                  <w:hideMark/>
                </w:tcPr>
                <w:p w14:paraId="79EA9D7C"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2</w:t>
                  </w:r>
                </w:p>
              </w:tc>
              <w:tc>
                <w:tcPr>
                  <w:tcW w:w="1184" w:type="dxa"/>
                  <w:tcBorders>
                    <w:top w:val="nil"/>
                    <w:left w:val="nil"/>
                    <w:bottom w:val="single" w:sz="4" w:space="0" w:color="auto"/>
                    <w:right w:val="single" w:sz="4" w:space="0" w:color="auto"/>
                  </w:tcBorders>
                  <w:vAlign w:val="bottom"/>
                  <w:hideMark/>
                </w:tcPr>
                <w:p w14:paraId="38A8A6CB"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0,5</w:t>
                  </w:r>
                </w:p>
              </w:tc>
            </w:tr>
            <w:tr w:rsidR="007003AC" w:rsidRPr="007003AC" w14:paraId="395818F6"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3C2C1488"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mazowieckie</w:t>
                  </w:r>
                </w:p>
              </w:tc>
              <w:tc>
                <w:tcPr>
                  <w:tcW w:w="1140" w:type="dxa"/>
                  <w:tcBorders>
                    <w:top w:val="nil"/>
                    <w:left w:val="nil"/>
                    <w:bottom w:val="single" w:sz="4" w:space="0" w:color="auto"/>
                    <w:right w:val="single" w:sz="4" w:space="0" w:color="auto"/>
                  </w:tcBorders>
                  <w:vAlign w:val="bottom"/>
                  <w:hideMark/>
                </w:tcPr>
                <w:p w14:paraId="021C73DC"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58</w:t>
                  </w:r>
                </w:p>
              </w:tc>
              <w:tc>
                <w:tcPr>
                  <w:tcW w:w="1184" w:type="dxa"/>
                  <w:tcBorders>
                    <w:top w:val="nil"/>
                    <w:left w:val="nil"/>
                    <w:bottom w:val="single" w:sz="4" w:space="0" w:color="auto"/>
                    <w:right w:val="single" w:sz="4" w:space="0" w:color="auto"/>
                  </w:tcBorders>
                  <w:vAlign w:val="bottom"/>
                  <w:hideMark/>
                </w:tcPr>
                <w:p w14:paraId="18957938"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3</w:t>
                  </w:r>
                </w:p>
              </w:tc>
            </w:tr>
            <w:tr w:rsidR="007003AC" w:rsidRPr="007003AC" w14:paraId="37EBBC2C"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3C26804"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opolskie</w:t>
                  </w:r>
                </w:p>
              </w:tc>
              <w:tc>
                <w:tcPr>
                  <w:tcW w:w="1140" w:type="dxa"/>
                  <w:tcBorders>
                    <w:top w:val="nil"/>
                    <w:left w:val="nil"/>
                    <w:bottom w:val="single" w:sz="4" w:space="0" w:color="auto"/>
                    <w:right w:val="single" w:sz="4" w:space="0" w:color="auto"/>
                  </w:tcBorders>
                  <w:vAlign w:val="bottom"/>
                  <w:hideMark/>
                </w:tcPr>
                <w:p w14:paraId="541D2257"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9</w:t>
                  </w:r>
                </w:p>
              </w:tc>
              <w:tc>
                <w:tcPr>
                  <w:tcW w:w="1184" w:type="dxa"/>
                  <w:tcBorders>
                    <w:top w:val="nil"/>
                    <w:left w:val="nil"/>
                    <w:bottom w:val="single" w:sz="4" w:space="0" w:color="auto"/>
                    <w:right w:val="single" w:sz="4" w:space="0" w:color="auto"/>
                  </w:tcBorders>
                  <w:vAlign w:val="bottom"/>
                  <w:hideMark/>
                </w:tcPr>
                <w:p w14:paraId="7CBB48FB"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0,5</w:t>
                  </w:r>
                </w:p>
              </w:tc>
            </w:tr>
            <w:tr w:rsidR="007003AC" w:rsidRPr="007003AC" w14:paraId="1AD3CF23"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699EA88B"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podkarpackie</w:t>
                  </w:r>
                </w:p>
              </w:tc>
              <w:tc>
                <w:tcPr>
                  <w:tcW w:w="1140" w:type="dxa"/>
                  <w:tcBorders>
                    <w:top w:val="nil"/>
                    <w:left w:val="nil"/>
                    <w:bottom w:val="single" w:sz="4" w:space="0" w:color="auto"/>
                    <w:right w:val="single" w:sz="4" w:space="0" w:color="auto"/>
                  </w:tcBorders>
                  <w:vAlign w:val="bottom"/>
                  <w:hideMark/>
                </w:tcPr>
                <w:p w14:paraId="06B4BE0E"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3</w:t>
                  </w:r>
                </w:p>
              </w:tc>
              <w:tc>
                <w:tcPr>
                  <w:tcW w:w="1184" w:type="dxa"/>
                  <w:tcBorders>
                    <w:top w:val="nil"/>
                    <w:left w:val="nil"/>
                    <w:bottom w:val="single" w:sz="4" w:space="0" w:color="auto"/>
                    <w:right w:val="single" w:sz="4" w:space="0" w:color="auto"/>
                  </w:tcBorders>
                  <w:vAlign w:val="bottom"/>
                  <w:hideMark/>
                </w:tcPr>
                <w:p w14:paraId="5EEBE598"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0,5</w:t>
                  </w:r>
                </w:p>
              </w:tc>
            </w:tr>
            <w:tr w:rsidR="007003AC" w:rsidRPr="007003AC" w14:paraId="6FA606A0"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4ABE402A"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podlaskie</w:t>
                  </w:r>
                </w:p>
              </w:tc>
              <w:tc>
                <w:tcPr>
                  <w:tcW w:w="1140" w:type="dxa"/>
                  <w:tcBorders>
                    <w:top w:val="nil"/>
                    <w:left w:val="nil"/>
                    <w:bottom w:val="single" w:sz="4" w:space="0" w:color="auto"/>
                    <w:right w:val="single" w:sz="4" w:space="0" w:color="auto"/>
                  </w:tcBorders>
                  <w:vAlign w:val="bottom"/>
                  <w:hideMark/>
                </w:tcPr>
                <w:p w14:paraId="7FB06BE9"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64</w:t>
                  </w:r>
                </w:p>
              </w:tc>
              <w:tc>
                <w:tcPr>
                  <w:tcW w:w="1184" w:type="dxa"/>
                  <w:tcBorders>
                    <w:top w:val="nil"/>
                    <w:left w:val="nil"/>
                    <w:bottom w:val="single" w:sz="4" w:space="0" w:color="auto"/>
                    <w:right w:val="single" w:sz="4" w:space="0" w:color="auto"/>
                  </w:tcBorders>
                  <w:vAlign w:val="bottom"/>
                  <w:hideMark/>
                </w:tcPr>
                <w:p w14:paraId="2E28D5FD"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3</w:t>
                  </w:r>
                </w:p>
              </w:tc>
            </w:tr>
            <w:tr w:rsidR="007003AC" w:rsidRPr="007003AC" w14:paraId="2F2F5D1D"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4F591F69"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pomorskie</w:t>
                  </w:r>
                </w:p>
              </w:tc>
              <w:tc>
                <w:tcPr>
                  <w:tcW w:w="1140" w:type="dxa"/>
                  <w:tcBorders>
                    <w:top w:val="nil"/>
                    <w:left w:val="nil"/>
                    <w:bottom w:val="single" w:sz="4" w:space="0" w:color="auto"/>
                    <w:right w:val="single" w:sz="4" w:space="0" w:color="auto"/>
                  </w:tcBorders>
                  <w:vAlign w:val="bottom"/>
                  <w:hideMark/>
                </w:tcPr>
                <w:p w14:paraId="2916DF94"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13</w:t>
                  </w:r>
                </w:p>
              </w:tc>
              <w:tc>
                <w:tcPr>
                  <w:tcW w:w="1184" w:type="dxa"/>
                  <w:tcBorders>
                    <w:top w:val="nil"/>
                    <w:left w:val="nil"/>
                    <w:bottom w:val="single" w:sz="4" w:space="0" w:color="auto"/>
                    <w:right w:val="single" w:sz="4" w:space="0" w:color="auto"/>
                  </w:tcBorders>
                  <w:vAlign w:val="bottom"/>
                  <w:hideMark/>
                </w:tcPr>
                <w:p w14:paraId="6D8C01D6"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1</w:t>
                  </w:r>
                </w:p>
              </w:tc>
            </w:tr>
            <w:tr w:rsidR="007003AC" w:rsidRPr="007003AC" w14:paraId="1CB556A7"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4713EA71"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śląskie</w:t>
                  </w:r>
                </w:p>
              </w:tc>
              <w:tc>
                <w:tcPr>
                  <w:tcW w:w="1140" w:type="dxa"/>
                  <w:tcBorders>
                    <w:top w:val="nil"/>
                    <w:left w:val="nil"/>
                    <w:bottom w:val="single" w:sz="4" w:space="0" w:color="auto"/>
                    <w:right w:val="single" w:sz="4" w:space="0" w:color="auto"/>
                  </w:tcBorders>
                  <w:vAlign w:val="bottom"/>
                  <w:hideMark/>
                </w:tcPr>
                <w:p w14:paraId="6215C0C6"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1</w:t>
                  </w:r>
                </w:p>
              </w:tc>
              <w:tc>
                <w:tcPr>
                  <w:tcW w:w="1184" w:type="dxa"/>
                  <w:tcBorders>
                    <w:top w:val="nil"/>
                    <w:left w:val="nil"/>
                    <w:bottom w:val="single" w:sz="4" w:space="0" w:color="auto"/>
                    <w:right w:val="single" w:sz="4" w:space="0" w:color="auto"/>
                  </w:tcBorders>
                  <w:vAlign w:val="bottom"/>
                  <w:hideMark/>
                </w:tcPr>
                <w:p w14:paraId="77914FF5"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0,5</w:t>
                  </w:r>
                </w:p>
              </w:tc>
            </w:tr>
            <w:tr w:rsidR="007003AC" w:rsidRPr="007003AC" w14:paraId="2BEE23CF"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73CA06D4"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świętokrzyskie</w:t>
                  </w:r>
                </w:p>
              </w:tc>
              <w:tc>
                <w:tcPr>
                  <w:tcW w:w="1140" w:type="dxa"/>
                  <w:tcBorders>
                    <w:top w:val="nil"/>
                    <w:left w:val="nil"/>
                    <w:bottom w:val="single" w:sz="4" w:space="0" w:color="auto"/>
                    <w:right w:val="single" w:sz="4" w:space="0" w:color="auto"/>
                  </w:tcBorders>
                  <w:vAlign w:val="bottom"/>
                  <w:hideMark/>
                </w:tcPr>
                <w:p w14:paraId="2874DBC4"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7</w:t>
                  </w:r>
                </w:p>
              </w:tc>
              <w:tc>
                <w:tcPr>
                  <w:tcW w:w="1184" w:type="dxa"/>
                  <w:tcBorders>
                    <w:top w:val="nil"/>
                    <w:left w:val="nil"/>
                    <w:bottom w:val="single" w:sz="4" w:space="0" w:color="auto"/>
                    <w:right w:val="single" w:sz="4" w:space="0" w:color="auto"/>
                  </w:tcBorders>
                  <w:vAlign w:val="bottom"/>
                  <w:hideMark/>
                </w:tcPr>
                <w:p w14:paraId="261FC5A5"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0,5</w:t>
                  </w:r>
                </w:p>
              </w:tc>
            </w:tr>
            <w:tr w:rsidR="007003AC" w:rsidRPr="007003AC" w14:paraId="3561DE2F"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69E08002"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warmińsko-mazurskie</w:t>
                  </w:r>
                </w:p>
              </w:tc>
              <w:tc>
                <w:tcPr>
                  <w:tcW w:w="1140" w:type="dxa"/>
                  <w:tcBorders>
                    <w:top w:val="nil"/>
                    <w:left w:val="nil"/>
                    <w:bottom w:val="single" w:sz="4" w:space="0" w:color="auto"/>
                    <w:right w:val="single" w:sz="4" w:space="0" w:color="auto"/>
                  </w:tcBorders>
                  <w:vAlign w:val="bottom"/>
                  <w:hideMark/>
                </w:tcPr>
                <w:p w14:paraId="649BB553"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48</w:t>
                  </w:r>
                </w:p>
              </w:tc>
              <w:tc>
                <w:tcPr>
                  <w:tcW w:w="1184" w:type="dxa"/>
                  <w:tcBorders>
                    <w:top w:val="nil"/>
                    <w:left w:val="nil"/>
                    <w:bottom w:val="single" w:sz="4" w:space="0" w:color="auto"/>
                    <w:right w:val="single" w:sz="4" w:space="0" w:color="auto"/>
                  </w:tcBorders>
                  <w:vAlign w:val="bottom"/>
                  <w:hideMark/>
                </w:tcPr>
                <w:p w14:paraId="448820DF"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2</w:t>
                  </w:r>
                </w:p>
              </w:tc>
            </w:tr>
            <w:tr w:rsidR="007003AC" w:rsidRPr="007003AC" w14:paraId="42A8FAD5"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06957C62"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wielkopolskie</w:t>
                  </w:r>
                </w:p>
              </w:tc>
              <w:tc>
                <w:tcPr>
                  <w:tcW w:w="1140" w:type="dxa"/>
                  <w:tcBorders>
                    <w:top w:val="nil"/>
                    <w:left w:val="nil"/>
                    <w:bottom w:val="single" w:sz="4" w:space="0" w:color="auto"/>
                    <w:right w:val="single" w:sz="4" w:space="0" w:color="auto"/>
                  </w:tcBorders>
                  <w:vAlign w:val="bottom"/>
                  <w:hideMark/>
                </w:tcPr>
                <w:p w14:paraId="2FD15DC5"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46</w:t>
                  </w:r>
                </w:p>
              </w:tc>
              <w:tc>
                <w:tcPr>
                  <w:tcW w:w="1184" w:type="dxa"/>
                  <w:tcBorders>
                    <w:top w:val="nil"/>
                    <w:left w:val="nil"/>
                    <w:bottom w:val="single" w:sz="4" w:space="0" w:color="auto"/>
                    <w:right w:val="single" w:sz="4" w:space="0" w:color="auto"/>
                  </w:tcBorders>
                  <w:vAlign w:val="bottom"/>
                  <w:hideMark/>
                </w:tcPr>
                <w:p w14:paraId="0E0721D1"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2</w:t>
                  </w:r>
                </w:p>
              </w:tc>
            </w:tr>
            <w:tr w:rsidR="007003AC" w:rsidRPr="007003AC" w14:paraId="1731BD86" w14:textId="77777777" w:rsidTr="007003AC">
              <w:trPr>
                <w:trHeight w:val="300"/>
              </w:trPr>
              <w:tc>
                <w:tcPr>
                  <w:tcW w:w="2120" w:type="dxa"/>
                  <w:tcBorders>
                    <w:top w:val="nil"/>
                    <w:left w:val="single" w:sz="4" w:space="0" w:color="auto"/>
                    <w:bottom w:val="single" w:sz="4" w:space="0" w:color="auto"/>
                    <w:right w:val="single" w:sz="4" w:space="0" w:color="auto"/>
                  </w:tcBorders>
                  <w:shd w:val="clear" w:color="000000" w:fill="D9D9D9"/>
                  <w:noWrap/>
                  <w:vAlign w:val="center"/>
                  <w:hideMark/>
                </w:tcPr>
                <w:p w14:paraId="67ABA826" w14:textId="77777777" w:rsidR="007003AC" w:rsidRPr="004B6A22" w:rsidRDefault="007003AC" w:rsidP="002B13D9">
                  <w:pPr>
                    <w:spacing w:after="120" w:line="240" w:lineRule="auto"/>
                    <w:rPr>
                      <w:rFonts w:ascii="Times New Roman" w:eastAsia="Times New Roman" w:hAnsi="Times New Roman"/>
                      <w:color w:val="000000"/>
                      <w:lang w:eastAsia="pl-PL"/>
                    </w:rPr>
                  </w:pPr>
                  <w:r w:rsidRPr="004B6A22">
                    <w:rPr>
                      <w:rFonts w:ascii="Times New Roman" w:eastAsia="Times New Roman" w:hAnsi="Times New Roman"/>
                      <w:color w:val="000000"/>
                      <w:lang w:eastAsia="pl-PL"/>
                    </w:rPr>
                    <w:t>zachodniopomorskie</w:t>
                  </w:r>
                </w:p>
              </w:tc>
              <w:tc>
                <w:tcPr>
                  <w:tcW w:w="1140" w:type="dxa"/>
                  <w:tcBorders>
                    <w:top w:val="nil"/>
                    <w:left w:val="nil"/>
                    <w:bottom w:val="single" w:sz="4" w:space="0" w:color="auto"/>
                    <w:right w:val="single" w:sz="4" w:space="0" w:color="auto"/>
                  </w:tcBorders>
                  <w:vAlign w:val="bottom"/>
                  <w:hideMark/>
                </w:tcPr>
                <w:p w14:paraId="3F5EB3CA"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14</w:t>
                  </w:r>
                </w:p>
              </w:tc>
              <w:tc>
                <w:tcPr>
                  <w:tcW w:w="1184" w:type="dxa"/>
                  <w:tcBorders>
                    <w:top w:val="nil"/>
                    <w:left w:val="nil"/>
                    <w:bottom w:val="single" w:sz="4" w:space="0" w:color="auto"/>
                    <w:right w:val="single" w:sz="4" w:space="0" w:color="auto"/>
                  </w:tcBorders>
                  <w:vAlign w:val="bottom"/>
                  <w:hideMark/>
                </w:tcPr>
                <w:p w14:paraId="2F241B22"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1</w:t>
                  </w:r>
                </w:p>
              </w:tc>
            </w:tr>
            <w:tr w:rsidR="007003AC" w:rsidRPr="007003AC" w14:paraId="2684859F" w14:textId="77777777" w:rsidTr="007003AC">
              <w:trPr>
                <w:trHeight w:val="300"/>
              </w:trPr>
              <w:tc>
                <w:tcPr>
                  <w:tcW w:w="2120" w:type="dxa"/>
                  <w:tcBorders>
                    <w:top w:val="single" w:sz="4" w:space="0" w:color="auto"/>
                    <w:left w:val="single" w:sz="4" w:space="0" w:color="auto"/>
                    <w:bottom w:val="single" w:sz="4" w:space="0" w:color="auto"/>
                    <w:right w:val="single" w:sz="4" w:space="0" w:color="auto"/>
                  </w:tcBorders>
                  <w:noWrap/>
                  <w:vAlign w:val="bottom"/>
                  <w:hideMark/>
                </w:tcPr>
                <w:p w14:paraId="6A406CCF" w14:textId="77777777" w:rsidR="007003AC" w:rsidRPr="007003AC" w:rsidRDefault="007003AC" w:rsidP="002B13D9">
                  <w:pPr>
                    <w:spacing w:after="120" w:line="240" w:lineRule="auto"/>
                    <w:jc w:val="right"/>
                    <w:rPr>
                      <w:rFonts w:eastAsia="Times New Roman" w:cs="Calibri"/>
                      <w:color w:val="000000"/>
                      <w:sz w:val="20"/>
                      <w:szCs w:val="20"/>
                      <w:lang w:eastAsia="pl-PL"/>
                    </w:rPr>
                  </w:pPr>
                </w:p>
              </w:tc>
              <w:tc>
                <w:tcPr>
                  <w:tcW w:w="1140" w:type="dxa"/>
                  <w:tcBorders>
                    <w:top w:val="single" w:sz="4" w:space="0" w:color="auto"/>
                    <w:left w:val="single" w:sz="4" w:space="0" w:color="auto"/>
                    <w:bottom w:val="single" w:sz="4" w:space="0" w:color="auto"/>
                    <w:right w:val="single" w:sz="4" w:space="0" w:color="auto"/>
                  </w:tcBorders>
                  <w:noWrap/>
                  <w:vAlign w:val="bottom"/>
                  <w:hideMark/>
                </w:tcPr>
                <w:p w14:paraId="449B24B4" w14:textId="15ACD685"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39</w:t>
                  </w:r>
                  <w:r w:rsidR="00CB1157">
                    <w:rPr>
                      <w:rFonts w:ascii="Times New Roman" w:eastAsia="Times New Roman" w:hAnsi="Times New Roman"/>
                      <w:color w:val="000000"/>
                      <w:sz w:val="20"/>
                      <w:szCs w:val="20"/>
                      <w:lang w:eastAsia="pl-PL"/>
                    </w:rPr>
                    <w:t>9</w:t>
                  </w:r>
                </w:p>
              </w:tc>
              <w:tc>
                <w:tcPr>
                  <w:tcW w:w="1184" w:type="dxa"/>
                  <w:tcBorders>
                    <w:top w:val="single" w:sz="4" w:space="0" w:color="auto"/>
                    <w:left w:val="single" w:sz="4" w:space="0" w:color="auto"/>
                    <w:bottom w:val="single" w:sz="4" w:space="0" w:color="auto"/>
                    <w:right w:val="single" w:sz="4" w:space="0" w:color="auto"/>
                  </w:tcBorders>
                  <w:noWrap/>
                  <w:vAlign w:val="bottom"/>
                  <w:hideMark/>
                </w:tcPr>
                <w:p w14:paraId="0EDBEFA0" w14:textId="77777777" w:rsidR="007003AC" w:rsidRPr="004B6A22" w:rsidRDefault="007003AC" w:rsidP="002B13D9">
                  <w:pPr>
                    <w:spacing w:after="120" w:line="240" w:lineRule="auto"/>
                    <w:jc w:val="right"/>
                    <w:rPr>
                      <w:rFonts w:ascii="Times New Roman" w:eastAsia="Times New Roman" w:hAnsi="Times New Roman"/>
                      <w:color w:val="000000"/>
                      <w:sz w:val="20"/>
                      <w:szCs w:val="20"/>
                      <w:lang w:eastAsia="pl-PL"/>
                    </w:rPr>
                  </w:pPr>
                  <w:r w:rsidRPr="004B6A22">
                    <w:rPr>
                      <w:rFonts w:ascii="Times New Roman" w:eastAsia="Times New Roman" w:hAnsi="Times New Roman"/>
                      <w:color w:val="000000"/>
                      <w:sz w:val="20"/>
                      <w:szCs w:val="20"/>
                      <w:lang w:eastAsia="pl-PL"/>
                    </w:rPr>
                    <w:t>21,5</w:t>
                  </w:r>
                </w:p>
              </w:tc>
            </w:tr>
          </w:tbl>
          <w:bookmarkEnd w:id="13"/>
          <w:p w14:paraId="72BB1743" w14:textId="3D54B529" w:rsidR="00B1570E" w:rsidRDefault="009A7FC3" w:rsidP="002B13D9">
            <w:pPr>
              <w:spacing w:after="120" w:line="240" w:lineRule="auto"/>
              <w:jc w:val="both"/>
              <w:rPr>
                <w:rFonts w:ascii="Times New Roman" w:hAnsi="Times New Roman"/>
                <w:lang w:eastAsia="en-GB"/>
              </w:rPr>
            </w:pPr>
            <w:r>
              <w:rPr>
                <w:rFonts w:ascii="Times New Roman" w:hAnsi="Times New Roman"/>
                <w:lang w:eastAsia="en-GB"/>
              </w:rPr>
              <w:t xml:space="preserve">W załączniku </w:t>
            </w:r>
            <w:r w:rsidR="000D3793">
              <w:rPr>
                <w:rFonts w:ascii="Times New Roman" w:hAnsi="Times New Roman"/>
                <w:lang w:eastAsia="en-GB"/>
              </w:rPr>
              <w:t xml:space="preserve">1 </w:t>
            </w:r>
            <w:r>
              <w:rPr>
                <w:rFonts w:ascii="Times New Roman" w:hAnsi="Times New Roman"/>
                <w:lang w:eastAsia="en-GB"/>
              </w:rPr>
              <w:t xml:space="preserve">do OSR znajduje się tabela z kosztami etatów w </w:t>
            </w:r>
            <w:r w:rsidR="00AB1B23">
              <w:rPr>
                <w:rFonts w:ascii="Times New Roman" w:hAnsi="Times New Roman"/>
                <w:lang w:eastAsia="en-GB"/>
              </w:rPr>
              <w:t>W</w:t>
            </w:r>
            <w:r>
              <w:rPr>
                <w:rFonts w:ascii="Times New Roman" w:hAnsi="Times New Roman"/>
                <w:lang w:eastAsia="en-GB"/>
              </w:rPr>
              <w:t xml:space="preserve">ojewódzkich </w:t>
            </w:r>
            <w:r w:rsidR="00AB1B23">
              <w:rPr>
                <w:rFonts w:ascii="Times New Roman" w:hAnsi="Times New Roman"/>
                <w:lang w:eastAsia="en-GB"/>
              </w:rPr>
              <w:t>I</w:t>
            </w:r>
            <w:r>
              <w:rPr>
                <w:rFonts w:ascii="Times New Roman" w:hAnsi="Times New Roman"/>
                <w:lang w:eastAsia="en-GB"/>
              </w:rPr>
              <w:t xml:space="preserve">nspektoratach </w:t>
            </w:r>
            <w:r w:rsidR="00AB1B23">
              <w:rPr>
                <w:rFonts w:ascii="Times New Roman" w:hAnsi="Times New Roman"/>
                <w:lang w:eastAsia="en-GB"/>
              </w:rPr>
              <w:t>O</w:t>
            </w:r>
            <w:r>
              <w:rPr>
                <w:rFonts w:ascii="Times New Roman" w:hAnsi="Times New Roman"/>
                <w:lang w:eastAsia="en-GB"/>
              </w:rPr>
              <w:t xml:space="preserve">chrony </w:t>
            </w:r>
            <w:r w:rsidR="00AB1B23">
              <w:rPr>
                <w:rFonts w:ascii="Times New Roman" w:hAnsi="Times New Roman"/>
                <w:lang w:eastAsia="en-GB"/>
              </w:rPr>
              <w:t>Ś</w:t>
            </w:r>
            <w:r>
              <w:rPr>
                <w:rFonts w:ascii="Times New Roman" w:hAnsi="Times New Roman"/>
                <w:lang w:eastAsia="en-GB"/>
              </w:rPr>
              <w:t xml:space="preserve">rodowiska (część budżetowa 85) i </w:t>
            </w:r>
            <w:bookmarkStart w:id="14" w:name="_Hlk188345101"/>
            <w:r>
              <w:rPr>
                <w:rFonts w:ascii="Times New Roman" w:hAnsi="Times New Roman"/>
                <w:lang w:eastAsia="en-GB"/>
              </w:rPr>
              <w:t>kosztami etatów w Głównym Inspektoracie Ochrony Środowiska (część budżetowa 51)</w:t>
            </w:r>
            <w:bookmarkEnd w:id="14"/>
            <w:r>
              <w:rPr>
                <w:rFonts w:ascii="Times New Roman" w:hAnsi="Times New Roman"/>
                <w:lang w:eastAsia="en-GB"/>
              </w:rPr>
              <w:t xml:space="preserve">, a także </w:t>
            </w:r>
            <w:bookmarkStart w:id="15" w:name="_Hlk188345269"/>
            <w:r>
              <w:rPr>
                <w:rFonts w:ascii="Times New Roman" w:hAnsi="Times New Roman"/>
                <w:lang w:eastAsia="en-GB"/>
              </w:rPr>
              <w:t>wyliczenie miesięcznego wynagrodzenia</w:t>
            </w:r>
            <w:r w:rsidR="00D01AF6">
              <w:rPr>
                <w:rFonts w:ascii="Times New Roman" w:hAnsi="Times New Roman"/>
                <w:lang w:eastAsia="en-GB"/>
              </w:rPr>
              <w:t xml:space="preserve"> </w:t>
            </w:r>
            <w:r w:rsidR="00BD46ED" w:rsidRPr="00F82174">
              <w:rPr>
                <w:rFonts w:ascii="Times New Roman" w:hAnsi="Times New Roman"/>
                <w:lang w:eastAsia="en-GB"/>
              </w:rPr>
              <w:t>w poszczególnych latach</w:t>
            </w:r>
            <w:r w:rsidR="00D01AF6">
              <w:rPr>
                <w:rFonts w:ascii="Times New Roman" w:hAnsi="Times New Roman"/>
                <w:lang w:eastAsia="en-GB"/>
              </w:rPr>
              <w:t xml:space="preserve"> na potrzeby określenia kosztów etatów w GIOŚ i </w:t>
            </w:r>
            <w:bookmarkEnd w:id="15"/>
            <w:r w:rsidR="009A551E">
              <w:rPr>
                <w:rFonts w:ascii="Times New Roman" w:hAnsi="Times New Roman"/>
                <w:lang w:eastAsia="en-GB"/>
              </w:rPr>
              <w:t>WIOŚ</w:t>
            </w:r>
            <w:r>
              <w:rPr>
                <w:rFonts w:ascii="Times New Roman" w:hAnsi="Times New Roman"/>
                <w:lang w:eastAsia="en-GB"/>
              </w:rPr>
              <w:t xml:space="preserve">. </w:t>
            </w:r>
          </w:p>
          <w:p w14:paraId="1D971498" w14:textId="54CDB49F" w:rsidR="00D36DC7" w:rsidRPr="00786CDD" w:rsidRDefault="00D96EC6" w:rsidP="002B13D9">
            <w:pPr>
              <w:spacing w:after="120" w:line="240" w:lineRule="auto"/>
              <w:jc w:val="both"/>
              <w:rPr>
                <w:rFonts w:ascii="Times New Roman" w:hAnsi="Times New Roman"/>
                <w:lang w:eastAsia="en-GB"/>
              </w:rPr>
            </w:pPr>
            <w:r w:rsidRPr="00786CDD">
              <w:rPr>
                <w:rFonts w:ascii="Times New Roman" w:hAnsi="Times New Roman"/>
                <w:lang w:eastAsia="en-GB"/>
              </w:rPr>
              <w:lastRenderedPageBreak/>
              <w:t>W związku z koniecznością uiszczenia opłaty rejestracyjnej (zgodnie z art. 210 ust. 4 ustawy Poś) do NFOŚiGW w przypadku składania wniosku o wydanie pozwolenia zintegrowanego należy w przypadku 3</w:t>
            </w:r>
            <w:r w:rsidR="00AF46F5">
              <w:rPr>
                <w:rFonts w:ascii="Times New Roman" w:hAnsi="Times New Roman"/>
                <w:lang w:eastAsia="en-GB"/>
              </w:rPr>
              <w:t>99</w:t>
            </w:r>
            <w:r w:rsidRPr="00786CDD">
              <w:rPr>
                <w:rFonts w:ascii="Times New Roman" w:hAnsi="Times New Roman"/>
                <w:lang w:eastAsia="en-GB"/>
              </w:rPr>
              <w:t xml:space="preserve"> zidentyfikowanych nowych instalacji założyć wpływ do NFOŚiGW ok. </w:t>
            </w:r>
            <w:r w:rsidR="00FF6B79" w:rsidRPr="00786CDD">
              <w:rPr>
                <w:rFonts w:ascii="Times New Roman" w:hAnsi="Times New Roman"/>
                <w:lang w:eastAsia="en-GB"/>
              </w:rPr>
              <w:t>497</w:t>
            </w:r>
            <w:r w:rsidRPr="00786CDD">
              <w:rPr>
                <w:rFonts w:ascii="Times New Roman" w:hAnsi="Times New Roman"/>
                <w:lang w:eastAsia="en-GB"/>
              </w:rPr>
              <w:t xml:space="preserve"> 400 zł – </w:t>
            </w:r>
            <w:r w:rsidR="00FF6B79" w:rsidRPr="00786CDD">
              <w:rPr>
                <w:rFonts w:ascii="Times New Roman" w:hAnsi="Times New Roman"/>
                <w:lang w:eastAsia="en-GB"/>
              </w:rPr>
              <w:t>4</w:t>
            </w:r>
            <w:r w:rsidRPr="00786CDD">
              <w:rPr>
                <w:rFonts w:ascii="Times New Roman" w:hAnsi="Times New Roman"/>
                <w:lang w:eastAsia="en-GB"/>
              </w:rPr>
              <w:t xml:space="preserve"> </w:t>
            </w:r>
            <w:r w:rsidR="00FF6B79" w:rsidRPr="00786CDD">
              <w:rPr>
                <w:rFonts w:ascii="Times New Roman" w:hAnsi="Times New Roman"/>
                <w:lang w:eastAsia="en-GB"/>
              </w:rPr>
              <w:t>140</w:t>
            </w:r>
            <w:r w:rsidRPr="00786CDD">
              <w:rPr>
                <w:rFonts w:ascii="Times New Roman" w:hAnsi="Times New Roman"/>
                <w:lang w:eastAsia="en-GB"/>
              </w:rPr>
              <w:t xml:space="preserve"> 000 zł.</w:t>
            </w:r>
            <w:r w:rsidR="007A0416" w:rsidRPr="00786CDD">
              <w:rPr>
                <w:rFonts w:ascii="Times New Roman" w:hAnsi="Times New Roman"/>
                <w:lang w:eastAsia="en-GB"/>
              </w:rPr>
              <w:t xml:space="preserve"> W tabeli została zamieszczona informacja o średnich wpływach </w:t>
            </w:r>
            <w:r w:rsidR="00A846B7">
              <w:rPr>
                <w:rFonts w:ascii="Times New Roman" w:hAnsi="Times New Roman"/>
                <w:lang w:eastAsia="en-GB"/>
              </w:rPr>
              <w:t xml:space="preserve">w wysokości </w:t>
            </w:r>
            <w:r w:rsidR="007A0416" w:rsidRPr="00786CDD">
              <w:rPr>
                <w:rFonts w:ascii="Times New Roman" w:hAnsi="Times New Roman"/>
                <w:lang w:eastAsia="en-GB"/>
              </w:rPr>
              <w:t>2 318 000 zł</w:t>
            </w:r>
            <w:r w:rsidR="00A846B7">
              <w:rPr>
                <w:rFonts w:ascii="Times New Roman" w:hAnsi="Times New Roman"/>
                <w:lang w:eastAsia="en-GB"/>
              </w:rPr>
              <w:t xml:space="preserve"> w 2030 roku, natomiast w kolejnych latach należy spodziewać się wpływów w wysokości 90 000 zł z dodatkowych instalacji objętych obowiązkiem uzyskania pozwolenia zintegrowanego w wyniku zmiany ustawy. </w:t>
            </w:r>
          </w:p>
          <w:p w14:paraId="01EF1E90" w14:textId="2A33B8BA" w:rsidR="00C570E3" w:rsidRPr="00786CDD" w:rsidRDefault="00C570E3" w:rsidP="002B13D9">
            <w:pPr>
              <w:spacing w:after="120" w:line="240" w:lineRule="auto"/>
              <w:jc w:val="both"/>
              <w:rPr>
                <w:rFonts w:ascii="Times New Roman" w:hAnsi="Times New Roman"/>
                <w:lang w:eastAsia="en-GB"/>
              </w:rPr>
            </w:pPr>
            <w:r w:rsidRPr="0083681D">
              <w:rPr>
                <w:rFonts w:ascii="Times New Roman" w:hAnsi="Times New Roman"/>
                <w:lang w:eastAsia="en-GB"/>
              </w:rPr>
              <w:t xml:space="preserve">Istotną kwestią jest również zapewnienie bardziej przejrzystego i nie uzależnionego od rozporządzenia Rady Ministrów </w:t>
            </w:r>
            <w:r w:rsidRPr="0083681D">
              <w:rPr>
                <w:rFonts w:ascii="Times New Roman" w:hAnsi="Times New Roman"/>
              </w:rPr>
              <w:t xml:space="preserve">z dnia 10 września 2019 r. w sprawie przedsięwzięć mogących znacząco oddziaływać na środowisko (Dz. U. z 2019 r. poz. 1839) sposobu określania, które instalacje są wydawane przez marszałków województwa, a które przez starostów. Określenie tego poprzez zmianę rozporządzenia </w:t>
            </w:r>
            <w:r w:rsidR="000D3793" w:rsidRPr="0083681D">
              <w:rPr>
                <w:rFonts w:ascii="Times New Roman" w:hAnsi="Times New Roman"/>
              </w:rPr>
              <w:t xml:space="preserve">Ministra Środowiska z dnia </w:t>
            </w:r>
            <w:r w:rsidR="000D3793" w:rsidRPr="0083681D">
              <w:rPr>
                <w:rFonts w:ascii="Times New Roman" w:hAnsi="Times New Roman"/>
                <w:bCs/>
              </w:rPr>
              <w:t>z 27 sierpnia 2014 r. w sprawie rodzajów instalacji mogących powodować znaczne zanieczyszczenie poszczególnych elementów przyrodniczych albo środowiska jako całości (Dz. U. poz. 1169) oraz zmianę w ustawie poprzez dodanie kategorii I i podanie rodzajów instalacji dla których właściwym do wydania pozwolenia zintegrowanego jest marszałek województwa, oraz kategorii II dla której właściwym organem jest starosta. W załączniku 2 zawarty jest podział na kategorie ze wskazaniem które instalacje i w jakiej ilości podlegają marszałkowi województwa, a które staroście. Nowy podział został tak skonstruowany aby zmiany w procentowym udziale poszczególnych organów był jak najmniejszy, przy jednoczesnym jak najmniejszym skomplikowaniu tego nowego podziału.</w:t>
            </w:r>
          </w:p>
        </w:tc>
      </w:tr>
      <w:tr w:rsidR="009F00FC" w:rsidRPr="009F00FC" w14:paraId="07AFD697" w14:textId="77777777" w:rsidTr="00C14EA7">
        <w:trPr>
          <w:trHeight w:val="345"/>
          <w:jc w:val="center"/>
        </w:trPr>
        <w:tc>
          <w:tcPr>
            <w:tcW w:w="10937" w:type="dxa"/>
            <w:gridSpan w:val="13"/>
            <w:shd w:val="clear" w:color="auto" w:fill="99CCFF"/>
          </w:tcPr>
          <w:p w14:paraId="7C529876" w14:textId="77777777" w:rsidR="00E40B9E" w:rsidRPr="009F00FC" w:rsidRDefault="00E40B9E">
            <w:pPr>
              <w:numPr>
                <w:ilvl w:val="0"/>
                <w:numId w:val="4"/>
              </w:numPr>
              <w:spacing w:line="240" w:lineRule="auto"/>
              <w:jc w:val="both"/>
              <w:rPr>
                <w:rFonts w:ascii="Times New Roman" w:hAnsi="Times New Roman"/>
                <w:b/>
                <w:spacing w:val="-2"/>
              </w:rPr>
            </w:pPr>
            <w:r w:rsidRPr="009F00FC">
              <w:rPr>
                <w:rFonts w:ascii="Times New Roman" w:hAnsi="Times New Roman"/>
                <w:b/>
                <w:spacing w:val="-2"/>
              </w:rPr>
              <w:lastRenderedPageBreak/>
              <w:t xml:space="preserve">Wpływ na </w:t>
            </w:r>
            <w:r w:rsidRPr="009F00FC">
              <w:rPr>
                <w:rFonts w:ascii="Times New Roman" w:hAnsi="Times New Roman"/>
                <w:b/>
              </w:rPr>
              <w:t xml:space="preserve">konkurencyjność gospodarki i przedsiębiorczość, w tym funkcjonowanie przedsiębiorców oraz na rodzinę, obywateli i gospodarstwa domowe </w:t>
            </w:r>
          </w:p>
        </w:tc>
      </w:tr>
      <w:tr w:rsidR="009F00FC" w:rsidRPr="009F00FC" w14:paraId="387723EF" w14:textId="77777777" w:rsidTr="00C14EA7">
        <w:trPr>
          <w:trHeight w:val="142"/>
          <w:jc w:val="center"/>
        </w:trPr>
        <w:tc>
          <w:tcPr>
            <w:tcW w:w="10937" w:type="dxa"/>
            <w:gridSpan w:val="13"/>
            <w:shd w:val="clear" w:color="auto" w:fill="FFFFFF"/>
          </w:tcPr>
          <w:p w14:paraId="7FC80BBC" w14:textId="77777777" w:rsidR="00E40B9E" w:rsidRPr="009F00FC" w:rsidRDefault="00E40B9E" w:rsidP="00E40B9E">
            <w:pPr>
              <w:spacing w:line="240" w:lineRule="auto"/>
              <w:jc w:val="both"/>
              <w:rPr>
                <w:rFonts w:ascii="Times New Roman" w:hAnsi="Times New Roman"/>
                <w:spacing w:val="-2"/>
              </w:rPr>
            </w:pPr>
            <w:r w:rsidRPr="009F00FC">
              <w:rPr>
                <w:rFonts w:ascii="Times New Roman" w:hAnsi="Times New Roman"/>
                <w:spacing w:val="-2"/>
              </w:rPr>
              <w:t>Skutki</w:t>
            </w:r>
          </w:p>
        </w:tc>
      </w:tr>
      <w:tr w:rsidR="009F00FC" w:rsidRPr="009F00FC" w14:paraId="0BA4B1C2" w14:textId="77777777" w:rsidTr="00BC2A95">
        <w:trPr>
          <w:trHeight w:val="142"/>
          <w:jc w:val="center"/>
        </w:trPr>
        <w:tc>
          <w:tcPr>
            <w:tcW w:w="3889" w:type="dxa"/>
            <w:gridSpan w:val="4"/>
            <w:shd w:val="clear" w:color="auto" w:fill="FFFFFF"/>
          </w:tcPr>
          <w:p w14:paraId="4DAA4C62" w14:textId="77777777" w:rsidR="00E40B9E" w:rsidRPr="009F00FC" w:rsidRDefault="00E40B9E" w:rsidP="00E40B9E">
            <w:pPr>
              <w:spacing w:line="240" w:lineRule="auto"/>
              <w:jc w:val="both"/>
              <w:rPr>
                <w:rFonts w:ascii="Times New Roman" w:hAnsi="Times New Roman"/>
              </w:rPr>
            </w:pPr>
            <w:r w:rsidRPr="009F00FC">
              <w:rPr>
                <w:rFonts w:ascii="Times New Roman" w:hAnsi="Times New Roman"/>
              </w:rPr>
              <w:t>Czas w latach od wejścia w życie zmian</w:t>
            </w:r>
          </w:p>
        </w:tc>
        <w:tc>
          <w:tcPr>
            <w:tcW w:w="937" w:type="dxa"/>
            <w:shd w:val="clear" w:color="auto" w:fill="FFFFFF"/>
          </w:tcPr>
          <w:p w14:paraId="19412D29" w14:textId="185D4031" w:rsidR="00E40B9E" w:rsidRPr="009F00FC" w:rsidRDefault="00184D8D" w:rsidP="00E40B9E">
            <w:pPr>
              <w:spacing w:line="240" w:lineRule="auto"/>
              <w:jc w:val="both"/>
              <w:rPr>
                <w:rFonts w:ascii="Times New Roman" w:hAnsi="Times New Roman"/>
              </w:rPr>
            </w:pPr>
            <w:r>
              <w:rPr>
                <w:rFonts w:ascii="Times New Roman" w:hAnsi="Times New Roman"/>
              </w:rPr>
              <w:t>2026</w:t>
            </w:r>
          </w:p>
        </w:tc>
        <w:tc>
          <w:tcPr>
            <w:tcW w:w="938" w:type="dxa"/>
            <w:gridSpan w:val="2"/>
            <w:shd w:val="clear" w:color="auto" w:fill="FFFFFF"/>
          </w:tcPr>
          <w:p w14:paraId="746E4466" w14:textId="61807F15" w:rsidR="00E40B9E" w:rsidRPr="009F00FC" w:rsidRDefault="00184D8D" w:rsidP="00E40B9E">
            <w:pPr>
              <w:spacing w:line="240" w:lineRule="auto"/>
              <w:jc w:val="both"/>
              <w:rPr>
                <w:rFonts w:ascii="Times New Roman" w:hAnsi="Times New Roman"/>
              </w:rPr>
            </w:pPr>
            <w:r>
              <w:rPr>
                <w:rFonts w:ascii="Times New Roman" w:hAnsi="Times New Roman"/>
              </w:rPr>
              <w:t>2027</w:t>
            </w:r>
          </w:p>
        </w:tc>
        <w:tc>
          <w:tcPr>
            <w:tcW w:w="894" w:type="dxa"/>
            <w:shd w:val="clear" w:color="auto" w:fill="FFFFFF"/>
          </w:tcPr>
          <w:p w14:paraId="4542FA56" w14:textId="68BC5B25" w:rsidR="00E40B9E" w:rsidRPr="009F00FC" w:rsidRDefault="00E40B9E" w:rsidP="00E40B9E">
            <w:pPr>
              <w:spacing w:line="240" w:lineRule="auto"/>
              <w:jc w:val="both"/>
              <w:rPr>
                <w:rFonts w:ascii="Times New Roman" w:hAnsi="Times New Roman"/>
              </w:rPr>
            </w:pPr>
            <w:r w:rsidRPr="009F00FC">
              <w:rPr>
                <w:rFonts w:ascii="Times New Roman" w:hAnsi="Times New Roman"/>
              </w:rPr>
              <w:t>2</w:t>
            </w:r>
            <w:r w:rsidR="00184D8D">
              <w:rPr>
                <w:rFonts w:ascii="Times New Roman" w:hAnsi="Times New Roman"/>
              </w:rPr>
              <w:t>028</w:t>
            </w:r>
          </w:p>
        </w:tc>
        <w:tc>
          <w:tcPr>
            <w:tcW w:w="981" w:type="dxa"/>
            <w:gridSpan w:val="2"/>
            <w:shd w:val="clear" w:color="auto" w:fill="FFFFFF"/>
          </w:tcPr>
          <w:p w14:paraId="358A83B1" w14:textId="15048C20" w:rsidR="00E40B9E" w:rsidRPr="009F00FC" w:rsidRDefault="00184D8D" w:rsidP="00E40B9E">
            <w:pPr>
              <w:spacing w:line="240" w:lineRule="auto"/>
              <w:jc w:val="both"/>
              <w:rPr>
                <w:rFonts w:ascii="Times New Roman" w:hAnsi="Times New Roman"/>
              </w:rPr>
            </w:pPr>
            <w:r>
              <w:rPr>
                <w:rFonts w:ascii="Times New Roman" w:hAnsi="Times New Roman"/>
              </w:rPr>
              <w:t>2029</w:t>
            </w:r>
          </w:p>
        </w:tc>
        <w:tc>
          <w:tcPr>
            <w:tcW w:w="938" w:type="dxa"/>
            <w:shd w:val="clear" w:color="auto" w:fill="FFFFFF"/>
          </w:tcPr>
          <w:p w14:paraId="1DEAFDF6" w14:textId="1D41024C" w:rsidR="00E40B9E" w:rsidRPr="009F00FC" w:rsidRDefault="00184D8D" w:rsidP="00E40B9E">
            <w:pPr>
              <w:spacing w:line="240" w:lineRule="auto"/>
              <w:jc w:val="both"/>
              <w:rPr>
                <w:rFonts w:ascii="Times New Roman" w:hAnsi="Times New Roman"/>
              </w:rPr>
            </w:pPr>
            <w:r>
              <w:rPr>
                <w:rFonts w:ascii="Times New Roman" w:hAnsi="Times New Roman"/>
              </w:rPr>
              <w:t>2030</w:t>
            </w:r>
          </w:p>
        </w:tc>
        <w:tc>
          <w:tcPr>
            <w:tcW w:w="938" w:type="dxa"/>
            <w:shd w:val="clear" w:color="auto" w:fill="FFFFFF"/>
          </w:tcPr>
          <w:p w14:paraId="5B1D85FB" w14:textId="13C20E8F" w:rsidR="00E40B9E" w:rsidRPr="009F00FC" w:rsidRDefault="00184D8D" w:rsidP="00E40B9E">
            <w:pPr>
              <w:spacing w:line="240" w:lineRule="auto"/>
              <w:jc w:val="both"/>
              <w:rPr>
                <w:rFonts w:ascii="Times New Roman" w:hAnsi="Times New Roman"/>
              </w:rPr>
            </w:pPr>
            <w:r>
              <w:rPr>
                <w:rFonts w:ascii="Times New Roman" w:hAnsi="Times New Roman"/>
              </w:rPr>
              <w:t>2031</w:t>
            </w:r>
          </w:p>
        </w:tc>
        <w:tc>
          <w:tcPr>
            <w:tcW w:w="1422" w:type="dxa"/>
            <w:shd w:val="clear" w:color="auto" w:fill="FFFFFF"/>
          </w:tcPr>
          <w:p w14:paraId="16A9D031" w14:textId="4B945673" w:rsidR="00E40B9E" w:rsidRPr="009F00FC" w:rsidRDefault="00E40B9E" w:rsidP="00E40B9E">
            <w:pPr>
              <w:spacing w:line="240" w:lineRule="auto"/>
              <w:jc w:val="both"/>
              <w:rPr>
                <w:rFonts w:ascii="Times New Roman" w:hAnsi="Times New Roman"/>
                <w:i/>
                <w:spacing w:val="-2"/>
              </w:rPr>
            </w:pPr>
            <w:r w:rsidRPr="009F00FC">
              <w:rPr>
                <w:rFonts w:ascii="Times New Roman" w:hAnsi="Times New Roman"/>
                <w:i/>
                <w:spacing w:val="-2"/>
              </w:rPr>
              <w:t>Łącznie</w:t>
            </w:r>
            <w:r w:rsidRPr="009F00FC" w:rsidDel="0073273A">
              <w:rPr>
                <w:rFonts w:ascii="Times New Roman" w:hAnsi="Times New Roman"/>
                <w:i/>
                <w:spacing w:val="-2"/>
              </w:rPr>
              <w:t xml:space="preserve"> </w:t>
            </w:r>
            <w:r w:rsidRPr="009F00FC">
              <w:rPr>
                <w:rFonts w:ascii="Times New Roman" w:hAnsi="Times New Roman"/>
                <w:i/>
                <w:spacing w:val="-2"/>
              </w:rPr>
              <w:t>(</w:t>
            </w:r>
            <w:r w:rsidR="00184D8D">
              <w:rPr>
                <w:rFonts w:ascii="Times New Roman" w:hAnsi="Times New Roman"/>
                <w:i/>
                <w:spacing w:val="-2"/>
              </w:rPr>
              <w:t>2026</w:t>
            </w:r>
            <w:r w:rsidRPr="009F00FC">
              <w:rPr>
                <w:rFonts w:ascii="Times New Roman" w:hAnsi="Times New Roman"/>
                <w:i/>
                <w:spacing w:val="-2"/>
              </w:rPr>
              <w:t>-</w:t>
            </w:r>
            <w:r w:rsidR="00184D8D">
              <w:rPr>
                <w:rFonts w:ascii="Times New Roman" w:hAnsi="Times New Roman"/>
                <w:i/>
                <w:spacing w:val="-2"/>
              </w:rPr>
              <w:t>2031</w:t>
            </w:r>
            <w:r w:rsidRPr="009F00FC">
              <w:rPr>
                <w:rFonts w:ascii="Times New Roman" w:hAnsi="Times New Roman"/>
                <w:i/>
                <w:spacing w:val="-2"/>
              </w:rPr>
              <w:t>)</w:t>
            </w:r>
          </w:p>
        </w:tc>
      </w:tr>
      <w:tr w:rsidR="009F00FC" w:rsidRPr="009F00FC" w14:paraId="4B629BA2" w14:textId="77777777" w:rsidTr="00BC2A95">
        <w:trPr>
          <w:trHeight w:val="142"/>
          <w:jc w:val="center"/>
        </w:trPr>
        <w:tc>
          <w:tcPr>
            <w:tcW w:w="1596" w:type="dxa"/>
            <w:vMerge w:val="restart"/>
            <w:shd w:val="clear" w:color="auto" w:fill="FFFFFF"/>
          </w:tcPr>
          <w:p w14:paraId="48441DAB" w14:textId="77777777" w:rsidR="0042317D" w:rsidRPr="009F00FC" w:rsidRDefault="0042317D" w:rsidP="0042317D">
            <w:pPr>
              <w:spacing w:line="240" w:lineRule="auto"/>
              <w:jc w:val="both"/>
              <w:rPr>
                <w:rFonts w:ascii="Times New Roman" w:hAnsi="Times New Roman"/>
              </w:rPr>
            </w:pPr>
            <w:r w:rsidRPr="009F00FC">
              <w:rPr>
                <w:rFonts w:ascii="Times New Roman" w:hAnsi="Times New Roman"/>
              </w:rPr>
              <w:t>W ujęciu pieniężnym</w:t>
            </w:r>
          </w:p>
          <w:p w14:paraId="7832F9D1" w14:textId="77777777" w:rsidR="0042317D" w:rsidRPr="009F00FC" w:rsidRDefault="0042317D" w:rsidP="0042317D">
            <w:pPr>
              <w:spacing w:line="240" w:lineRule="auto"/>
              <w:jc w:val="both"/>
              <w:rPr>
                <w:rFonts w:ascii="Times New Roman" w:hAnsi="Times New Roman"/>
                <w:spacing w:val="-2"/>
              </w:rPr>
            </w:pPr>
            <w:r w:rsidRPr="009F00FC">
              <w:rPr>
                <w:rFonts w:ascii="Times New Roman" w:hAnsi="Times New Roman"/>
                <w:spacing w:val="-2"/>
              </w:rPr>
              <w:t xml:space="preserve">(w mln zł, </w:t>
            </w:r>
          </w:p>
          <w:p w14:paraId="56A6B8D1" w14:textId="77777777" w:rsidR="0042317D" w:rsidRPr="009F00FC" w:rsidRDefault="0042317D" w:rsidP="0042317D">
            <w:pPr>
              <w:spacing w:line="240" w:lineRule="auto"/>
              <w:jc w:val="both"/>
              <w:rPr>
                <w:rFonts w:ascii="Times New Roman" w:hAnsi="Times New Roman"/>
              </w:rPr>
            </w:pPr>
            <w:r w:rsidRPr="009F00FC">
              <w:rPr>
                <w:rFonts w:ascii="Times New Roman" w:hAnsi="Times New Roman"/>
                <w:spacing w:val="-2"/>
              </w:rPr>
              <w:t>ceny stałe z 2021 r.)</w:t>
            </w:r>
          </w:p>
        </w:tc>
        <w:tc>
          <w:tcPr>
            <w:tcW w:w="2293" w:type="dxa"/>
            <w:gridSpan w:val="3"/>
            <w:shd w:val="clear" w:color="auto" w:fill="FFFFFF"/>
          </w:tcPr>
          <w:p w14:paraId="550D075C" w14:textId="77777777" w:rsidR="0042317D" w:rsidRPr="009F00FC" w:rsidRDefault="0042317D" w:rsidP="0042317D">
            <w:pPr>
              <w:spacing w:line="240" w:lineRule="auto"/>
              <w:jc w:val="both"/>
              <w:rPr>
                <w:rFonts w:ascii="Times New Roman" w:hAnsi="Times New Roman"/>
              </w:rPr>
            </w:pPr>
            <w:r w:rsidRPr="009F00FC">
              <w:rPr>
                <w:rFonts w:ascii="Times New Roman" w:hAnsi="Times New Roman"/>
              </w:rPr>
              <w:t>duże przedsiębiorstwa</w:t>
            </w:r>
          </w:p>
        </w:tc>
        <w:tc>
          <w:tcPr>
            <w:tcW w:w="937" w:type="dxa"/>
            <w:shd w:val="clear" w:color="auto" w:fill="FFFFFF"/>
            <w:vAlign w:val="center"/>
          </w:tcPr>
          <w:p w14:paraId="6FE041AA" w14:textId="77777777" w:rsidR="0042317D" w:rsidRPr="009F00FC" w:rsidRDefault="0042317D" w:rsidP="0042317D">
            <w:pPr>
              <w:spacing w:line="240" w:lineRule="auto"/>
              <w:jc w:val="both"/>
              <w:rPr>
                <w:rFonts w:ascii="Times New Roman" w:hAnsi="Times New Roman"/>
              </w:rPr>
            </w:pPr>
            <w:r w:rsidRPr="009F00FC">
              <w:rPr>
                <w:rFonts w:ascii="Times New Roman" w:hAnsi="Times New Roman"/>
              </w:rPr>
              <w:t>0</w:t>
            </w:r>
          </w:p>
        </w:tc>
        <w:tc>
          <w:tcPr>
            <w:tcW w:w="938" w:type="dxa"/>
            <w:gridSpan w:val="2"/>
            <w:shd w:val="clear" w:color="auto" w:fill="FFFFFF"/>
            <w:vAlign w:val="center"/>
          </w:tcPr>
          <w:p w14:paraId="09441085" w14:textId="6440354E" w:rsidR="0042317D" w:rsidRPr="009F00FC" w:rsidRDefault="005E4523" w:rsidP="0042317D">
            <w:pPr>
              <w:spacing w:line="240" w:lineRule="auto"/>
              <w:jc w:val="both"/>
              <w:rPr>
                <w:rFonts w:ascii="Times New Roman" w:hAnsi="Times New Roman"/>
              </w:rPr>
            </w:pPr>
            <w:r w:rsidRPr="009F00FC">
              <w:rPr>
                <w:rFonts w:ascii="Times New Roman" w:hAnsi="Times New Roman"/>
              </w:rPr>
              <w:t>0</w:t>
            </w:r>
          </w:p>
        </w:tc>
        <w:tc>
          <w:tcPr>
            <w:tcW w:w="894" w:type="dxa"/>
            <w:shd w:val="clear" w:color="auto" w:fill="FFFFFF"/>
            <w:vAlign w:val="center"/>
          </w:tcPr>
          <w:p w14:paraId="133A783D" w14:textId="4E34F041" w:rsidR="0042317D" w:rsidRPr="009F00FC" w:rsidRDefault="005E4523" w:rsidP="0042317D">
            <w:pPr>
              <w:spacing w:line="240" w:lineRule="auto"/>
              <w:jc w:val="both"/>
              <w:rPr>
                <w:rFonts w:ascii="Times New Roman" w:hAnsi="Times New Roman"/>
              </w:rPr>
            </w:pPr>
            <w:r w:rsidRPr="009F00FC">
              <w:rPr>
                <w:rFonts w:ascii="Times New Roman" w:hAnsi="Times New Roman"/>
              </w:rPr>
              <w:t>0</w:t>
            </w:r>
          </w:p>
        </w:tc>
        <w:tc>
          <w:tcPr>
            <w:tcW w:w="981" w:type="dxa"/>
            <w:gridSpan w:val="2"/>
            <w:shd w:val="clear" w:color="auto" w:fill="FFFFFF"/>
            <w:vAlign w:val="center"/>
          </w:tcPr>
          <w:p w14:paraId="45237F4C" w14:textId="47696B32" w:rsidR="0042317D" w:rsidRPr="009F00FC" w:rsidRDefault="005E4523" w:rsidP="0042317D">
            <w:pPr>
              <w:spacing w:line="240" w:lineRule="auto"/>
              <w:jc w:val="both"/>
              <w:rPr>
                <w:rFonts w:ascii="Times New Roman" w:hAnsi="Times New Roman"/>
              </w:rPr>
            </w:pPr>
            <w:r w:rsidRPr="009F00FC">
              <w:rPr>
                <w:rFonts w:ascii="Times New Roman" w:hAnsi="Times New Roman"/>
              </w:rPr>
              <w:t>0</w:t>
            </w:r>
          </w:p>
        </w:tc>
        <w:tc>
          <w:tcPr>
            <w:tcW w:w="938" w:type="dxa"/>
            <w:shd w:val="clear" w:color="auto" w:fill="FFFFFF"/>
            <w:vAlign w:val="center"/>
          </w:tcPr>
          <w:p w14:paraId="7DD756DB" w14:textId="280FF79E" w:rsidR="0042317D" w:rsidRPr="009F00FC" w:rsidRDefault="009F4AEC" w:rsidP="0042317D">
            <w:pPr>
              <w:spacing w:line="240" w:lineRule="auto"/>
              <w:jc w:val="both"/>
              <w:rPr>
                <w:rFonts w:ascii="Times New Roman" w:hAnsi="Times New Roman"/>
              </w:rPr>
            </w:pPr>
            <w:r w:rsidRPr="009F00FC">
              <w:rPr>
                <w:rFonts w:ascii="Times New Roman" w:hAnsi="Times New Roman"/>
              </w:rPr>
              <w:t>2,318</w:t>
            </w:r>
          </w:p>
        </w:tc>
        <w:tc>
          <w:tcPr>
            <w:tcW w:w="938" w:type="dxa"/>
            <w:shd w:val="clear" w:color="auto" w:fill="FFFFFF"/>
            <w:vAlign w:val="center"/>
          </w:tcPr>
          <w:p w14:paraId="492BFE01" w14:textId="3E946226" w:rsidR="0042317D" w:rsidRPr="009F00FC" w:rsidRDefault="005E4523" w:rsidP="0042317D">
            <w:pPr>
              <w:spacing w:line="240" w:lineRule="auto"/>
              <w:jc w:val="both"/>
              <w:rPr>
                <w:rFonts w:ascii="Times New Roman" w:hAnsi="Times New Roman"/>
              </w:rPr>
            </w:pPr>
            <w:r w:rsidRPr="009F00FC">
              <w:rPr>
                <w:rFonts w:ascii="Times New Roman" w:hAnsi="Times New Roman"/>
              </w:rPr>
              <w:t>0</w:t>
            </w:r>
            <w:r w:rsidR="009A7FC3">
              <w:rPr>
                <w:rFonts w:ascii="Times New Roman" w:hAnsi="Times New Roman"/>
              </w:rPr>
              <w:t>,09</w:t>
            </w:r>
          </w:p>
        </w:tc>
        <w:tc>
          <w:tcPr>
            <w:tcW w:w="1422" w:type="dxa"/>
            <w:shd w:val="clear" w:color="auto" w:fill="FFFFFF"/>
            <w:vAlign w:val="center"/>
          </w:tcPr>
          <w:p w14:paraId="37BC3C50" w14:textId="3787C79B" w:rsidR="0042317D" w:rsidRPr="009F00FC" w:rsidRDefault="009F4AEC" w:rsidP="0042317D">
            <w:pPr>
              <w:spacing w:line="240" w:lineRule="auto"/>
              <w:jc w:val="both"/>
              <w:rPr>
                <w:rFonts w:ascii="Times New Roman" w:hAnsi="Times New Roman"/>
              </w:rPr>
            </w:pPr>
            <w:r w:rsidRPr="009F00FC">
              <w:rPr>
                <w:rFonts w:ascii="Times New Roman" w:hAnsi="Times New Roman"/>
              </w:rPr>
              <w:t>2,</w:t>
            </w:r>
            <w:r w:rsidR="009A7FC3">
              <w:rPr>
                <w:rFonts w:ascii="Times New Roman" w:hAnsi="Times New Roman"/>
              </w:rPr>
              <w:t>85</w:t>
            </w:r>
            <w:r w:rsidRPr="009F00FC">
              <w:rPr>
                <w:rFonts w:ascii="Times New Roman" w:hAnsi="Times New Roman"/>
              </w:rPr>
              <w:t>8</w:t>
            </w:r>
          </w:p>
        </w:tc>
      </w:tr>
      <w:tr w:rsidR="009F00FC" w:rsidRPr="009F00FC" w14:paraId="687266CD" w14:textId="77777777" w:rsidTr="00BC2A95">
        <w:trPr>
          <w:trHeight w:val="142"/>
          <w:jc w:val="center"/>
        </w:trPr>
        <w:tc>
          <w:tcPr>
            <w:tcW w:w="1596" w:type="dxa"/>
            <w:vMerge/>
            <w:shd w:val="clear" w:color="auto" w:fill="FFFFFF"/>
          </w:tcPr>
          <w:p w14:paraId="20F97623" w14:textId="77777777" w:rsidR="00E40B9E" w:rsidRPr="009F00FC" w:rsidRDefault="00E40B9E" w:rsidP="00E40B9E">
            <w:pPr>
              <w:spacing w:line="240" w:lineRule="auto"/>
              <w:jc w:val="both"/>
              <w:rPr>
                <w:rFonts w:ascii="Times New Roman" w:hAnsi="Times New Roman"/>
              </w:rPr>
            </w:pPr>
          </w:p>
        </w:tc>
        <w:tc>
          <w:tcPr>
            <w:tcW w:w="2293" w:type="dxa"/>
            <w:gridSpan w:val="3"/>
            <w:shd w:val="clear" w:color="auto" w:fill="FFFFFF"/>
          </w:tcPr>
          <w:p w14:paraId="1D35DFDA" w14:textId="77777777" w:rsidR="00E40B9E" w:rsidRPr="009F00FC" w:rsidRDefault="00E40B9E" w:rsidP="00E40B9E">
            <w:pPr>
              <w:spacing w:line="240" w:lineRule="auto"/>
              <w:jc w:val="both"/>
              <w:rPr>
                <w:rFonts w:ascii="Times New Roman" w:hAnsi="Times New Roman"/>
              </w:rPr>
            </w:pPr>
            <w:r w:rsidRPr="009F00FC">
              <w:rPr>
                <w:rFonts w:ascii="Times New Roman" w:hAnsi="Times New Roman"/>
              </w:rPr>
              <w:t>sektor mikro-, małych i średnich przedsiębiorstw</w:t>
            </w:r>
          </w:p>
        </w:tc>
        <w:tc>
          <w:tcPr>
            <w:tcW w:w="937" w:type="dxa"/>
            <w:shd w:val="clear" w:color="auto" w:fill="FFFFFF"/>
            <w:vAlign w:val="center"/>
          </w:tcPr>
          <w:p w14:paraId="36D97E72" w14:textId="3AA35F27" w:rsidR="00E40B9E" w:rsidRPr="009F00FC" w:rsidRDefault="00E40B9E" w:rsidP="00E40B9E">
            <w:pPr>
              <w:spacing w:line="240" w:lineRule="auto"/>
              <w:jc w:val="both"/>
              <w:rPr>
                <w:rFonts w:ascii="Times New Roman" w:hAnsi="Times New Roman"/>
              </w:rPr>
            </w:pPr>
            <w:r w:rsidRPr="009F00FC">
              <w:rPr>
                <w:rFonts w:ascii="Times New Roman" w:hAnsi="Times New Roman"/>
              </w:rPr>
              <w:t>0</w:t>
            </w:r>
          </w:p>
        </w:tc>
        <w:tc>
          <w:tcPr>
            <w:tcW w:w="938" w:type="dxa"/>
            <w:gridSpan w:val="2"/>
            <w:shd w:val="clear" w:color="auto" w:fill="FFFFFF"/>
            <w:vAlign w:val="center"/>
          </w:tcPr>
          <w:p w14:paraId="50D4A37F" w14:textId="13C07EDA" w:rsidR="00E40B9E" w:rsidRPr="009F00FC" w:rsidRDefault="005E4523" w:rsidP="00E40B9E">
            <w:pPr>
              <w:spacing w:line="240" w:lineRule="auto"/>
              <w:jc w:val="both"/>
              <w:rPr>
                <w:rFonts w:ascii="Times New Roman" w:hAnsi="Times New Roman"/>
              </w:rPr>
            </w:pPr>
            <w:r w:rsidRPr="009F00FC">
              <w:rPr>
                <w:rFonts w:ascii="Times New Roman" w:hAnsi="Times New Roman"/>
              </w:rPr>
              <w:t>0</w:t>
            </w:r>
          </w:p>
        </w:tc>
        <w:tc>
          <w:tcPr>
            <w:tcW w:w="894" w:type="dxa"/>
            <w:shd w:val="clear" w:color="auto" w:fill="FFFFFF"/>
            <w:vAlign w:val="center"/>
          </w:tcPr>
          <w:p w14:paraId="08910EF0" w14:textId="3C5826D6" w:rsidR="00E40B9E" w:rsidRPr="009F00FC" w:rsidRDefault="005E4523" w:rsidP="00E40B9E">
            <w:pPr>
              <w:spacing w:line="240" w:lineRule="auto"/>
              <w:jc w:val="both"/>
              <w:rPr>
                <w:rFonts w:ascii="Times New Roman" w:hAnsi="Times New Roman"/>
              </w:rPr>
            </w:pPr>
            <w:r w:rsidRPr="009F00FC">
              <w:rPr>
                <w:rFonts w:ascii="Times New Roman" w:hAnsi="Times New Roman"/>
              </w:rPr>
              <w:t>0</w:t>
            </w:r>
          </w:p>
        </w:tc>
        <w:tc>
          <w:tcPr>
            <w:tcW w:w="981" w:type="dxa"/>
            <w:gridSpan w:val="2"/>
            <w:shd w:val="clear" w:color="auto" w:fill="FFFFFF"/>
            <w:vAlign w:val="center"/>
          </w:tcPr>
          <w:p w14:paraId="3FF6D1D2" w14:textId="28DE126F" w:rsidR="00E40B9E" w:rsidRPr="009F00FC" w:rsidRDefault="005E4523" w:rsidP="00E40B9E">
            <w:pPr>
              <w:spacing w:line="240" w:lineRule="auto"/>
              <w:jc w:val="both"/>
              <w:rPr>
                <w:rFonts w:ascii="Times New Roman" w:hAnsi="Times New Roman"/>
              </w:rPr>
            </w:pPr>
            <w:r w:rsidRPr="009F00FC">
              <w:rPr>
                <w:rFonts w:ascii="Times New Roman" w:hAnsi="Times New Roman"/>
              </w:rPr>
              <w:t>0</w:t>
            </w:r>
          </w:p>
        </w:tc>
        <w:tc>
          <w:tcPr>
            <w:tcW w:w="938" w:type="dxa"/>
            <w:shd w:val="clear" w:color="auto" w:fill="FFFFFF"/>
            <w:vAlign w:val="center"/>
          </w:tcPr>
          <w:p w14:paraId="7ADC4DD0" w14:textId="514647F7" w:rsidR="00E40B9E" w:rsidRPr="009F00FC" w:rsidRDefault="005E4523" w:rsidP="00E40B9E">
            <w:pPr>
              <w:spacing w:line="240" w:lineRule="auto"/>
              <w:jc w:val="both"/>
              <w:rPr>
                <w:rFonts w:ascii="Times New Roman" w:hAnsi="Times New Roman"/>
              </w:rPr>
            </w:pPr>
            <w:r w:rsidRPr="009F00FC">
              <w:rPr>
                <w:rFonts w:ascii="Times New Roman" w:hAnsi="Times New Roman"/>
              </w:rPr>
              <w:t>0</w:t>
            </w:r>
          </w:p>
        </w:tc>
        <w:tc>
          <w:tcPr>
            <w:tcW w:w="938" w:type="dxa"/>
            <w:shd w:val="clear" w:color="auto" w:fill="FFFFFF"/>
            <w:vAlign w:val="center"/>
          </w:tcPr>
          <w:p w14:paraId="70A20D4F" w14:textId="504CDD61" w:rsidR="00E40B9E" w:rsidRPr="009F00FC" w:rsidRDefault="005E4523" w:rsidP="00E40B9E">
            <w:pPr>
              <w:spacing w:line="240" w:lineRule="auto"/>
              <w:jc w:val="both"/>
              <w:rPr>
                <w:rFonts w:ascii="Times New Roman" w:hAnsi="Times New Roman"/>
              </w:rPr>
            </w:pPr>
            <w:r w:rsidRPr="009F00FC">
              <w:rPr>
                <w:rFonts w:ascii="Times New Roman" w:hAnsi="Times New Roman"/>
              </w:rPr>
              <w:t>0</w:t>
            </w:r>
          </w:p>
        </w:tc>
        <w:tc>
          <w:tcPr>
            <w:tcW w:w="1422" w:type="dxa"/>
            <w:shd w:val="clear" w:color="auto" w:fill="FFFFFF"/>
            <w:vAlign w:val="center"/>
          </w:tcPr>
          <w:p w14:paraId="13E58D82" w14:textId="633A5CB6" w:rsidR="00E40B9E" w:rsidRPr="009F00FC" w:rsidRDefault="005E4523" w:rsidP="00E40B9E">
            <w:pPr>
              <w:spacing w:line="240" w:lineRule="auto"/>
              <w:jc w:val="both"/>
              <w:rPr>
                <w:rFonts w:ascii="Times New Roman" w:hAnsi="Times New Roman"/>
              </w:rPr>
            </w:pPr>
            <w:r w:rsidRPr="009F00FC">
              <w:rPr>
                <w:rFonts w:ascii="Times New Roman" w:hAnsi="Times New Roman"/>
              </w:rPr>
              <w:t>0</w:t>
            </w:r>
          </w:p>
        </w:tc>
      </w:tr>
      <w:tr w:rsidR="009F00FC" w:rsidRPr="009F00FC" w14:paraId="2759C9E0" w14:textId="77777777" w:rsidTr="00BC2A95">
        <w:trPr>
          <w:trHeight w:val="142"/>
          <w:jc w:val="center"/>
        </w:trPr>
        <w:tc>
          <w:tcPr>
            <w:tcW w:w="1596" w:type="dxa"/>
            <w:vMerge/>
            <w:shd w:val="clear" w:color="auto" w:fill="FFFFFF"/>
          </w:tcPr>
          <w:p w14:paraId="07DEB79E" w14:textId="77777777" w:rsidR="00BC2A95" w:rsidRPr="009F00FC" w:rsidRDefault="00BC2A95" w:rsidP="00BC2A95">
            <w:pPr>
              <w:spacing w:line="240" w:lineRule="auto"/>
              <w:jc w:val="both"/>
              <w:rPr>
                <w:rFonts w:ascii="Times New Roman" w:hAnsi="Times New Roman"/>
              </w:rPr>
            </w:pPr>
          </w:p>
        </w:tc>
        <w:tc>
          <w:tcPr>
            <w:tcW w:w="2293" w:type="dxa"/>
            <w:gridSpan w:val="3"/>
            <w:shd w:val="clear" w:color="auto" w:fill="FFFFFF"/>
          </w:tcPr>
          <w:p w14:paraId="0636E685" w14:textId="27E4A8D7" w:rsidR="00BC2A95" w:rsidRPr="009F00FC" w:rsidRDefault="00BC2A95" w:rsidP="00BC2A95">
            <w:pPr>
              <w:spacing w:line="240" w:lineRule="auto"/>
              <w:jc w:val="both"/>
              <w:rPr>
                <w:rFonts w:ascii="Times New Roman" w:hAnsi="Times New Roman"/>
              </w:rPr>
            </w:pPr>
            <w:r w:rsidRPr="009F00FC">
              <w:rPr>
                <w:rFonts w:ascii="Times New Roman" w:hAnsi="Times New Roman"/>
              </w:rPr>
              <w:t>rodzina, obywatele oraz gospodarstwa domowe</w:t>
            </w:r>
          </w:p>
        </w:tc>
        <w:tc>
          <w:tcPr>
            <w:tcW w:w="937" w:type="dxa"/>
            <w:shd w:val="clear" w:color="auto" w:fill="FFFFFF"/>
            <w:vAlign w:val="center"/>
          </w:tcPr>
          <w:p w14:paraId="03361FB0" w14:textId="2CCD479B" w:rsidR="00BC2A95" w:rsidRPr="009F00FC" w:rsidRDefault="00BC2A95" w:rsidP="00BC2A95">
            <w:pPr>
              <w:spacing w:line="240" w:lineRule="auto"/>
              <w:jc w:val="both"/>
              <w:rPr>
                <w:rFonts w:ascii="Times New Roman" w:hAnsi="Times New Roman"/>
              </w:rPr>
            </w:pPr>
            <w:r w:rsidRPr="009F00FC">
              <w:rPr>
                <w:rFonts w:ascii="Times New Roman" w:hAnsi="Times New Roman"/>
              </w:rPr>
              <w:t>0</w:t>
            </w:r>
          </w:p>
        </w:tc>
        <w:tc>
          <w:tcPr>
            <w:tcW w:w="938" w:type="dxa"/>
            <w:gridSpan w:val="2"/>
            <w:shd w:val="clear" w:color="auto" w:fill="FFFFFF"/>
            <w:vAlign w:val="center"/>
          </w:tcPr>
          <w:p w14:paraId="4E6A4C39" w14:textId="45739C60" w:rsidR="00BC2A95" w:rsidRPr="009F00FC" w:rsidRDefault="00BC2A95" w:rsidP="00BC2A95">
            <w:pPr>
              <w:spacing w:line="240" w:lineRule="auto"/>
              <w:jc w:val="both"/>
              <w:rPr>
                <w:rFonts w:ascii="Times New Roman" w:hAnsi="Times New Roman"/>
              </w:rPr>
            </w:pPr>
            <w:r w:rsidRPr="009F00FC">
              <w:rPr>
                <w:rFonts w:ascii="Times New Roman" w:hAnsi="Times New Roman"/>
              </w:rPr>
              <w:t>0</w:t>
            </w:r>
          </w:p>
        </w:tc>
        <w:tc>
          <w:tcPr>
            <w:tcW w:w="894" w:type="dxa"/>
            <w:shd w:val="clear" w:color="auto" w:fill="FFFFFF"/>
            <w:vAlign w:val="center"/>
          </w:tcPr>
          <w:p w14:paraId="5EFB03C5" w14:textId="6FFD3E9E" w:rsidR="00BC2A95" w:rsidRPr="009F00FC" w:rsidRDefault="00BC2A95" w:rsidP="00BC2A95">
            <w:pPr>
              <w:spacing w:line="240" w:lineRule="auto"/>
              <w:jc w:val="both"/>
              <w:rPr>
                <w:rFonts w:ascii="Times New Roman" w:hAnsi="Times New Roman"/>
              </w:rPr>
            </w:pPr>
            <w:r w:rsidRPr="009F00FC">
              <w:rPr>
                <w:rFonts w:ascii="Times New Roman" w:hAnsi="Times New Roman"/>
              </w:rPr>
              <w:t>0</w:t>
            </w:r>
          </w:p>
        </w:tc>
        <w:tc>
          <w:tcPr>
            <w:tcW w:w="981" w:type="dxa"/>
            <w:gridSpan w:val="2"/>
            <w:shd w:val="clear" w:color="auto" w:fill="FFFFFF"/>
            <w:vAlign w:val="center"/>
          </w:tcPr>
          <w:p w14:paraId="5ECC7DF9" w14:textId="1174B372" w:rsidR="00BC2A95" w:rsidRPr="009F00FC" w:rsidRDefault="00BC2A95" w:rsidP="00BC2A95">
            <w:pPr>
              <w:spacing w:line="240" w:lineRule="auto"/>
              <w:jc w:val="both"/>
              <w:rPr>
                <w:rFonts w:ascii="Times New Roman" w:hAnsi="Times New Roman"/>
              </w:rPr>
            </w:pPr>
            <w:r w:rsidRPr="009F00FC">
              <w:rPr>
                <w:rFonts w:ascii="Times New Roman" w:hAnsi="Times New Roman"/>
              </w:rPr>
              <w:t>0</w:t>
            </w:r>
          </w:p>
        </w:tc>
        <w:tc>
          <w:tcPr>
            <w:tcW w:w="938" w:type="dxa"/>
            <w:shd w:val="clear" w:color="auto" w:fill="FFFFFF"/>
            <w:vAlign w:val="center"/>
          </w:tcPr>
          <w:p w14:paraId="613FB1FA" w14:textId="77777777" w:rsidR="00BC2A95" w:rsidRPr="009F00FC" w:rsidRDefault="00BC2A95" w:rsidP="00BC2A95">
            <w:pPr>
              <w:spacing w:line="240" w:lineRule="auto"/>
              <w:jc w:val="both"/>
              <w:rPr>
                <w:rFonts w:ascii="Times New Roman" w:hAnsi="Times New Roman"/>
              </w:rPr>
            </w:pPr>
          </w:p>
          <w:p w14:paraId="531DC38A" w14:textId="22F42CBC" w:rsidR="00BC2A95" w:rsidRPr="009F00FC" w:rsidRDefault="00BC2A95" w:rsidP="00BC2A95">
            <w:pPr>
              <w:spacing w:line="240" w:lineRule="auto"/>
              <w:jc w:val="both"/>
              <w:rPr>
                <w:rFonts w:ascii="Times New Roman" w:hAnsi="Times New Roman"/>
              </w:rPr>
            </w:pPr>
            <w:r w:rsidRPr="009F00FC">
              <w:rPr>
                <w:rFonts w:ascii="Times New Roman" w:hAnsi="Times New Roman"/>
              </w:rPr>
              <w:t>0</w:t>
            </w:r>
          </w:p>
          <w:p w14:paraId="66099864" w14:textId="6CFD37CF" w:rsidR="00BC2A95" w:rsidRPr="009F00FC" w:rsidRDefault="00BC2A95" w:rsidP="00BC2A95">
            <w:pPr>
              <w:spacing w:line="240" w:lineRule="auto"/>
              <w:jc w:val="both"/>
              <w:rPr>
                <w:rFonts w:ascii="Times New Roman" w:hAnsi="Times New Roman"/>
              </w:rPr>
            </w:pPr>
          </w:p>
        </w:tc>
        <w:tc>
          <w:tcPr>
            <w:tcW w:w="938" w:type="dxa"/>
            <w:shd w:val="clear" w:color="auto" w:fill="FFFFFF"/>
            <w:vAlign w:val="center"/>
          </w:tcPr>
          <w:p w14:paraId="0D97268F" w14:textId="77777777" w:rsidR="00BC2A95" w:rsidRPr="009F00FC" w:rsidRDefault="00BC2A95" w:rsidP="00BC2A95">
            <w:pPr>
              <w:spacing w:line="240" w:lineRule="auto"/>
              <w:jc w:val="both"/>
              <w:rPr>
                <w:rFonts w:ascii="Times New Roman" w:hAnsi="Times New Roman"/>
              </w:rPr>
            </w:pPr>
          </w:p>
          <w:p w14:paraId="6CAD37FE" w14:textId="3CCD1545" w:rsidR="00BC2A95" w:rsidRPr="009F00FC" w:rsidRDefault="00BC2A95" w:rsidP="00BC2A95">
            <w:pPr>
              <w:spacing w:line="240" w:lineRule="auto"/>
              <w:jc w:val="both"/>
              <w:rPr>
                <w:rFonts w:ascii="Times New Roman" w:hAnsi="Times New Roman"/>
              </w:rPr>
            </w:pPr>
            <w:r w:rsidRPr="009F00FC">
              <w:rPr>
                <w:rFonts w:ascii="Times New Roman" w:hAnsi="Times New Roman"/>
              </w:rPr>
              <w:t>0</w:t>
            </w:r>
          </w:p>
          <w:p w14:paraId="1928137D" w14:textId="6A309C54" w:rsidR="00BC2A95" w:rsidRPr="009F00FC" w:rsidRDefault="00BC2A95" w:rsidP="00BC2A95">
            <w:pPr>
              <w:spacing w:line="240" w:lineRule="auto"/>
              <w:jc w:val="both"/>
              <w:rPr>
                <w:rFonts w:ascii="Times New Roman" w:hAnsi="Times New Roman"/>
              </w:rPr>
            </w:pPr>
          </w:p>
        </w:tc>
        <w:tc>
          <w:tcPr>
            <w:tcW w:w="1422" w:type="dxa"/>
            <w:shd w:val="clear" w:color="auto" w:fill="FFFFFF"/>
            <w:vAlign w:val="center"/>
          </w:tcPr>
          <w:p w14:paraId="435D1285" w14:textId="77777777" w:rsidR="00BC2A95" w:rsidRPr="009F00FC" w:rsidRDefault="00BC2A95" w:rsidP="00BC2A95">
            <w:pPr>
              <w:spacing w:line="240" w:lineRule="auto"/>
              <w:jc w:val="both"/>
              <w:rPr>
                <w:rFonts w:ascii="Times New Roman" w:hAnsi="Times New Roman"/>
              </w:rPr>
            </w:pPr>
          </w:p>
          <w:p w14:paraId="6F1F03DB" w14:textId="338A8310" w:rsidR="00BC2A95" w:rsidRPr="009F00FC" w:rsidRDefault="00830864" w:rsidP="00BC2A95">
            <w:pPr>
              <w:spacing w:line="240" w:lineRule="auto"/>
              <w:jc w:val="both"/>
              <w:rPr>
                <w:rFonts w:ascii="Times New Roman" w:hAnsi="Times New Roman"/>
              </w:rPr>
            </w:pPr>
            <w:r w:rsidRPr="009F00FC">
              <w:rPr>
                <w:rFonts w:ascii="Times New Roman" w:hAnsi="Times New Roman"/>
              </w:rPr>
              <w:t>0</w:t>
            </w:r>
          </w:p>
          <w:p w14:paraId="3180701D" w14:textId="63936A62" w:rsidR="00BC2A95" w:rsidRPr="009F00FC" w:rsidRDefault="00BC2A95" w:rsidP="00BC2A95">
            <w:pPr>
              <w:spacing w:line="240" w:lineRule="auto"/>
              <w:jc w:val="both"/>
              <w:rPr>
                <w:rFonts w:ascii="Times New Roman" w:hAnsi="Times New Roman"/>
              </w:rPr>
            </w:pPr>
          </w:p>
        </w:tc>
      </w:tr>
      <w:tr w:rsidR="009F00FC" w:rsidRPr="009F00FC" w14:paraId="189AC82E" w14:textId="77777777" w:rsidTr="00BC2A95">
        <w:trPr>
          <w:trHeight w:val="142"/>
          <w:jc w:val="center"/>
        </w:trPr>
        <w:tc>
          <w:tcPr>
            <w:tcW w:w="1596" w:type="dxa"/>
            <w:vMerge/>
            <w:shd w:val="clear" w:color="auto" w:fill="FFFFFF"/>
          </w:tcPr>
          <w:p w14:paraId="3AA258D6" w14:textId="77777777" w:rsidR="00C14EA7" w:rsidRPr="009F00FC" w:rsidRDefault="00C14EA7" w:rsidP="00C14EA7">
            <w:pPr>
              <w:spacing w:line="240" w:lineRule="auto"/>
              <w:jc w:val="both"/>
              <w:rPr>
                <w:rFonts w:ascii="Times New Roman" w:hAnsi="Times New Roman"/>
              </w:rPr>
            </w:pPr>
          </w:p>
        </w:tc>
        <w:tc>
          <w:tcPr>
            <w:tcW w:w="2293" w:type="dxa"/>
            <w:gridSpan w:val="3"/>
            <w:shd w:val="clear" w:color="auto" w:fill="FFFFFF"/>
          </w:tcPr>
          <w:p w14:paraId="0136E802" w14:textId="77777777" w:rsidR="00C14EA7" w:rsidRPr="009F00FC" w:rsidRDefault="00C14EA7" w:rsidP="00C14EA7">
            <w:pPr>
              <w:spacing w:line="240" w:lineRule="auto"/>
              <w:jc w:val="both"/>
              <w:rPr>
                <w:rFonts w:ascii="Times New Roman" w:hAnsi="Times New Roman"/>
              </w:rPr>
            </w:pPr>
            <w:r w:rsidRPr="009F00FC">
              <w:rPr>
                <w:rFonts w:ascii="Times New Roman" w:eastAsia="Times New Roman" w:hAnsi="Times New Roman"/>
                <w:lang w:eastAsia="pl-PL"/>
              </w:rPr>
              <w:t>osoby z niepełnosprawnością oraz osoby starsze</w:t>
            </w:r>
          </w:p>
        </w:tc>
        <w:tc>
          <w:tcPr>
            <w:tcW w:w="937" w:type="dxa"/>
            <w:shd w:val="clear" w:color="auto" w:fill="FFFFFF"/>
          </w:tcPr>
          <w:p w14:paraId="326F352C"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0</w:t>
            </w:r>
          </w:p>
        </w:tc>
        <w:tc>
          <w:tcPr>
            <w:tcW w:w="938" w:type="dxa"/>
            <w:gridSpan w:val="2"/>
            <w:shd w:val="clear" w:color="auto" w:fill="FFFFFF"/>
          </w:tcPr>
          <w:p w14:paraId="6F57A569"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0</w:t>
            </w:r>
          </w:p>
        </w:tc>
        <w:tc>
          <w:tcPr>
            <w:tcW w:w="894" w:type="dxa"/>
            <w:shd w:val="clear" w:color="auto" w:fill="FFFFFF"/>
          </w:tcPr>
          <w:p w14:paraId="10719CFA"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0</w:t>
            </w:r>
          </w:p>
        </w:tc>
        <w:tc>
          <w:tcPr>
            <w:tcW w:w="981" w:type="dxa"/>
            <w:gridSpan w:val="2"/>
            <w:shd w:val="clear" w:color="auto" w:fill="FFFFFF"/>
          </w:tcPr>
          <w:p w14:paraId="719FED5F"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0</w:t>
            </w:r>
          </w:p>
        </w:tc>
        <w:tc>
          <w:tcPr>
            <w:tcW w:w="938" w:type="dxa"/>
            <w:shd w:val="clear" w:color="auto" w:fill="FFFFFF"/>
          </w:tcPr>
          <w:p w14:paraId="1F624B74"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0</w:t>
            </w:r>
          </w:p>
        </w:tc>
        <w:tc>
          <w:tcPr>
            <w:tcW w:w="938" w:type="dxa"/>
            <w:shd w:val="clear" w:color="auto" w:fill="FFFFFF"/>
          </w:tcPr>
          <w:p w14:paraId="18F55106"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0</w:t>
            </w:r>
          </w:p>
        </w:tc>
        <w:tc>
          <w:tcPr>
            <w:tcW w:w="1422" w:type="dxa"/>
            <w:shd w:val="clear" w:color="auto" w:fill="FFFFFF"/>
          </w:tcPr>
          <w:p w14:paraId="16320948"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0</w:t>
            </w:r>
          </w:p>
        </w:tc>
      </w:tr>
      <w:tr w:rsidR="009F00FC" w:rsidRPr="009F00FC" w14:paraId="163A1F02" w14:textId="77777777" w:rsidTr="00C14EA7">
        <w:trPr>
          <w:trHeight w:val="142"/>
          <w:jc w:val="center"/>
        </w:trPr>
        <w:tc>
          <w:tcPr>
            <w:tcW w:w="1596" w:type="dxa"/>
            <w:vMerge w:val="restart"/>
            <w:shd w:val="clear" w:color="auto" w:fill="FFFFFF"/>
          </w:tcPr>
          <w:p w14:paraId="04FE48F5"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W ujęciu niepieniężnym</w:t>
            </w:r>
          </w:p>
        </w:tc>
        <w:tc>
          <w:tcPr>
            <w:tcW w:w="2293" w:type="dxa"/>
            <w:gridSpan w:val="3"/>
            <w:shd w:val="clear" w:color="auto" w:fill="FFFFFF"/>
          </w:tcPr>
          <w:p w14:paraId="2A4193FB"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duże przedsiębiorstwa</w:t>
            </w:r>
          </w:p>
        </w:tc>
        <w:tc>
          <w:tcPr>
            <w:tcW w:w="7048" w:type="dxa"/>
            <w:gridSpan w:val="9"/>
            <w:shd w:val="clear" w:color="auto" w:fill="FFFFFF"/>
          </w:tcPr>
          <w:p w14:paraId="1B3D3580" w14:textId="1EA69F31" w:rsidR="00C14EA7" w:rsidRPr="009F00FC" w:rsidRDefault="00774BD7" w:rsidP="009A7B8F">
            <w:pPr>
              <w:spacing w:line="240" w:lineRule="auto"/>
              <w:jc w:val="both"/>
              <w:rPr>
                <w:rFonts w:ascii="Times New Roman" w:hAnsi="Times New Roman"/>
                <w:spacing w:val="-2"/>
              </w:rPr>
            </w:pPr>
            <w:r w:rsidRPr="009F00FC">
              <w:rPr>
                <w:rFonts w:ascii="Times New Roman" w:hAnsi="Times New Roman"/>
                <w:spacing w:val="-2"/>
              </w:rPr>
              <w:t xml:space="preserve">Przedsiębiorstwa, które dotychczas funkcjonowały i posiadały pozwolenia zintegrowane </w:t>
            </w:r>
            <w:r w:rsidR="009F4AEC" w:rsidRPr="009F00FC">
              <w:rPr>
                <w:rFonts w:ascii="Times New Roman" w:hAnsi="Times New Roman"/>
                <w:spacing w:val="-2"/>
              </w:rPr>
              <w:t>będą</w:t>
            </w:r>
            <w:r w:rsidRPr="009F00FC">
              <w:rPr>
                <w:rFonts w:ascii="Times New Roman" w:hAnsi="Times New Roman"/>
                <w:spacing w:val="-2"/>
              </w:rPr>
              <w:t xml:space="preserve"> obciążone pewnymi wymaganiami, które wynikają z konieczności transpozycji przepisów dyrektywy 2024/1785, natomiast większość inwestycji w infrastrukturę zapewniającą dostosowanie do wysokich wymagań ochrony środowiska została dokonana w ramach dostosowania do wymogów dyrektywy 2010/75/UE. </w:t>
            </w:r>
            <w:r w:rsidR="00A11D5F" w:rsidRPr="009F00FC">
              <w:rPr>
                <w:rFonts w:ascii="Times New Roman" w:hAnsi="Times New Roman"/>
                <w:spacing w:val="-2"/>
              </w:rPr>
              <w:t xml:space="preserve">Wprowadzenie nowych obowiązków takich jak chociażby analiza możliwości osiągnięcia najniższych poziomów emisji określonych w </w:t>
            </w:r>
            <w:r w:rsidR="00B21F79">
              <w:rPr>
                <w:rFonts w:ascii="Times New Roman" w:hAnsi="Times New Roman"/>
                <w:spacing w:val="-2"/>
              </w:rPr>
              <w:t>k</w:t>
            </w:r>
            <w:r w:rsidR="00A11D5F" w:rsidRPr="009F00FC">
              <w:rPr>
                <w:rFonts w:ascii="Times New Roman" w:hAnsi="Times New Roman"/>
                <w:spacing w:val="-2"/>
              </w:rPr>
              <w:t>onkluzjach BAT może wpływać na zwiększenia stopnia skomplikowania postępowań administracyjnych. Dlatego też zasadne jest wykorzystywanie wskazanych w zmienionej dyrektywie mechanizmów, które pozwolą na złagodzenie tych negatywnych skutków lub wprowadzą usprawniania w innych aspektach wydawania pozwoleń zintegrowanych.</w:t>
            </w:r>
            <w:r w:rsidR="00C66478">
              <w:rPr>
                <w:rFonts w:ascii="Times New Roman" w:hAnsi="Times New Roman"/>
                <w:spacing w:val="-2"/>
              </w:rPr>
              <w:t xml:space="preserve"> Tym niemniej największe obciążenia będą powiązane z dostawaniem do przyszłych konkluzji BAT, które opracowywane są w ramach odrębnej procedury i na obecnym etapie nie są znane terminy ich publikacji. Nie sposób także racjonalnie przewidzieć wymagań jakie zostaną w nich określone.</w:t>
            </w:r>
          </w:p>
        </w:tc>
      </w:tr>
      <w:tr w:rsidR="009F00FC" w:rsidRPr="009F00FC" w14:paraId="1A4164FE" w14:textId="77777777" w:rsidTr="00C14EA7">
        <w:trPr>
          <w:trHeight w:val="142"/>
          <w:jc w:val="center"/>
        </w:trPr>
        <w:tc>
          <w:tcPr>
            <w:tcW w:w="1596" w:type="dxa"/>
            <w:vMerge/>
            <w:shd w:val="clear" w:color="auto" w:fill="FFFFFF"/>
          </w:tcPr>
          <w:p w14:paraId="4EC44959" w14:textId="77777777" w:rsidR="00C14EA7" w:rsidRPr="009F00FC" w:rsidRDefault="00C14EA7" w:rsidP="00C14EA7">
            <w:pPr>
              <w:spacing w:line="240" w:lineRule="auto"/>
              <w:jc w:val="both"/>
              <w:rPr>
                <w:rFonts w:ascii="Times New Roman" w:hAnsi="Times New Roman"/>
              </w:rPr>
            </w:pPr>
          </w:p>
        </w:tc>
        <w:tc>
          <w:tcPr>
            <w:tcW w:w="2293" w:type="dxa"/>
            <w:gridSpan w:val="3"/>
            <w:shd w:val="clear" w:color="auto" w:fill="FFFFFF"/>
          </w:tcPr>
          <w:p w14:paraId="5B3EA8F5"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sektor mikro-, małych i średnich przedsiębiorstw</w:t>
            </w:r>
          </w:p>
        </w:tc>
        <w:tc>
          <w:tcPr>
            <w:tcW w:w="7048" w:type="dxa"/>
            <w:gridSpan w:val="9"/>
            <w:shd w:val="clear" w:color="auto" w:fill="FFFFFF"/>
          </w:tcPr>
          <w:p w14:paraId="7C81CA78" w14:textId="4ECADFE3" w:rsidR="002D5491" w:rsidRPr="009F00FC" w:rsidRDefault="00A11D5F" w:rsidP="00C14EA7">
            <w:pPr>
              <w:spacing w:line="240" w:lineRule="auto"/>
              <w:jc w:val="both"/>
              <w:rPr>
                <w:rFonts w:ascii="Times New Roman" w:hAnsi="Times New Roman"/>
              </w:rPr>
            </w:pPr>
            <w:r w:rsidRPr="009F00FC">
              <w:rPr>
                <w:rFonts w:ascii="Times New Roman" w:hAnsi="Times New Roman"/>
              </w:rPr>
              <w:t>Obowiązek uzyskania pozwolenia zintegrowanego dotyczy, co do zasady, dużych instalacji przemysłowych. Tym niemniej w odniesieniu do niektórych branż takich jak np. gospodarka odpadami, przetwórstwo żelaza i stali czy chów drobiu lub świń zakres regulacji obejmuje także SMP. W większości będą to instalacje posiadające już pozwolenie zintegrowane, które poniosły już główny ciężar dostosowania. Rozszerzenie zakresu regulacji o nowe instalacje dotyczyć będzie głównie chowu drobiu i świń  spowodowane niewielkim obniżeniem progów działalności oraz  przejściem z systemu liczenia opartym na stanowiskach do DJP</w:t>
            </w:r>
            <w:r w:rsidR="00774BD7" w:rsidRPr="009F00FC">
              <w:rPr>
                <w:rFonts w:ascii="Times New Roman" w:hAnsi="Times New Roman"/>
              </w:rPr>
              <w:t xml:space="preserve">. Ze względu </w:t>
            </w:r>
            <w:r w:rsidR="0072034A" w:rsidRPr="009F00FC">
              <w:rPr>
                <w:rFonts w:ascii="Times New Roman" w:hAnsi="Times New Roman"/>
              </w:rPr>
              <w:t xml:space="preserve">na dotychczasowy </w:t>
            </w:r>
            <w:r w:rsidR="00774BD7" w:rsidRPr="009F00FC">
              <w:rPr>
                <w:rFonts w:ascii="Times New Roman" w:hAnsi="Times New Roman"/>
              </w:rPr>
              <w:t xml:space="preserve">brak objęcia </w:t>
            </w:r>
            <w:r w:rsidR="00774BD7" w:rsidRPr="009F00FC">
              <w:rPr>
                <w:rFonts w:ascii="Times New Roman" w:hAnsi="Times New Roman"/>
              </w:rPr>
              <w:lastRenderedPageBreak/>
              <w:t xml:space="preserve">wymaganiami dyrektywy </w:t>
            </w:r>
            <w:r w:rsidR="0072034A" w:rsidRPr="009F00FC">
              <w:rPr>
                <w:rFonts w:ascii="Times New Roman" w:hAnsi="Times New Roman"/>
              </w:rPr>
              <w:t>będą one musiały ponieść koszty dostosowania do jej przepisów.</w:t>
            </w:r>
            <w:r w:rsidRPr="009F00FC">
              <w:rPr>
                <w:rFonts w:ascii="Times New Roman" w:hAnsi="Times New Roman"/>
              </w:rPr>
              <w:t xml:space="preserve"> </w:t>
            </w:r>
          </w:p>
        </w:tc>
      </w:tr>
      <w:tr w:rsidR="009F00FC" w:rsidRPr="009F00FC" w14:paraId="561CBB3C" w14:textId="77777777" w:rsidTr="00C14EA7">
        <w:trPr>
          <w:trHeight w:val="596"/>
          <w:jc w:val="center"/>
        </w:trPr>
        <w:tc>
          <w:tcPr>
            <w:tcW w:w="1596" w:type="dxa"/>
            <w:vMerge/>
            <w:shd w:val="clear" w:color="auto" w:fill="FFFFFF"/>
          </w:tcPr>
          <w:p w14:paraId="59CC2071" w14:textId="77777777" w:rsidR="00C14EA7" w:rsidRPr="009F00FC" w:rsidRDefault="00C14EA7" w:rsidP="00C14EA7">
            <w:pPr>
              <w:spacing w:line="240" w:lineRule="auto"/>
              <w:jc w:val="both"/>
              <w:rPr>
                <w:rFonts w:ascii="Times New Roman" w:hAnsi="Times New Roman"/>
              </w:rPr>
            </w:pPr>
          </w:p>
        </w:tc>
        <w:tc>
          <w:tcPr>
            <w:tcW w:w="2293" w:type="dxa"/>
            <w:gridSpan w:val="3"/>
            <w:shd w:val="clear" w:color="auto" w:fill="FFFFFF"/>
          </w:tcPr>
          <w:p w14:paraId="0705636D" w14:textId="77777777" w:rsidR="00C14EA7" w:rsidRPr="009F00FC" w:rsidRDefault="00C14EA7" w:rsidP="00C14EA7">
            <w:pPr>
              <w:tabs>
                <w:tab w:val="right" w:pos="1936"/>
              </w:tabs>
              <w:spacing w:line="240" w:lineRule="auto"/>
              <w:jc w:val="both"/>
              <w:rPr>
                <w:rFonts w:ascii="Times New Roman" w:hAnsi="Times New Roman"/>
              </w:rPr>
            </w:pPr>
            <w:r w:rsidRPr="009F00FC">
              <w:rPr>
                <w:rFonts w:ascii="Times New Roman" w:hAnsi="Times New Roman"/>
              </w:rPr>
              <w:t xml:space="preserve">rodzina, obywatele oraz gospodarstwa domowe </w:t>
            </w:r>
          </w:p>
        </w:tc>
        <w:tc>
          <w:tcPr>
            <w:tcW w:w="7048" w:type="dxa"/>
            <w:gridSpan w:val="9"/>
            <w:shd w:val="clear" w:color="auto" w:fill="FFFFFF"/>
          </w:tcPr>
          <w:p w14:paraId="60346BE9" w14:textId="18B51E34" w:rsidR="00C14EA7" w:rsidRPr="009F00FC" w:rsidRDefault="00774BD7" w:rsidP="00570B95">
            <w:pPr>
              <w:pStyle w:val="Akapitzlist"/>
              <w:ind w:left="0"/>
              <w:jc w:val="both"/>
              <w:rPr>
                <w:rFonts w:ascii="Times New Roman" w:hAnsi="Times New Roman"/>
              </w:rPr>
            </w:pPr>
            <w:r w:rsidRPr="009F00FC">
              <w:rPr>
                <w:rFonts w:ascii="Times New Roman" w:hAnsi="Times New Roman"/>
              </w:rPr>
              <w:t xml:space="preserve">Wprowadzenie przepisów dotyczących prawa do rekompensaty z tytułu szkód poniesionych przez osoby, aby zapewnić im możliwość ochrony ich praw </w:t>
            </w:r>
            <w:r w:rsidRPr="003F2AFC">
              <w:rPr>
                <w:rFonts w:ascii="Times New Roman" w:hAnsi="Times New Roman"/>
              </w:rPr>
              <w:t>związanych ze szkodami dla zdrowia spowodowanymi naruszeniem przepisów dyrektywy 2024/1785.</w:t>
            </w:r>
            <w:r w:rsidR="003F2AFC" w:rsidRPr="00570B95">
              <w:rPr>
                <w:rFonts w:ascii="Times New Roman" w:hAnsi="Times New Roman"/>
              </w:rPr>
              <w:t xml:space="preserve"> Realizacja postanowień dyrektywy będzie opierać się na powszechnym dostępie do wymiaru sprawiedliwości. Warto też zaznaczyć, że możliwość wnioskowania o odszkodowania będzie dotyczyć przypadków gdzie instalacja eksploatowana jest z naruszeniem warunków pozwolenia i spowoduje to uszczerbek na zdrowiu u narażonych na te oddziaływania osób. Biorąc pod uwagę, że instalacje posiadające pozwolenie zintegrowane są często kontrolowane przez WIOŚ jak również prowadzą automonitoring, nierzadko pomiary ciągłe to przewiduje się, że w praktyce przepis będzie mieć incydentalne zastosowanie.</w:t>
            </w:r>
          </w:p>
        </w:tc>
      </w:tr>
      <w:tr w:rsidR="009F00FC" w:rsidRPr="009F00FC" w14:paraId="76275AE7" w14:textId="77777777" w:rsidTr="00C14EA7">
        <w:trPr>
          <w:trHeight w:val="240"/>
          <w:jc w:val="center"/>
        </w:trPr>
        <w:tc>
          <w:tcPr>
            <w:tcW w:w="1596" w:type="dxa"/>
            <w:vMerge/>
            <w:shd w:val="clear" w:color="auto" w:fill="FFFFFF"/>
          </w:tcPr>
          <w:p w14:paraId="2747D4B9" w14:textId="77777777" w:rsidR="00C14EA7" w:rsidRPr="009F00FC" w:rsidRDefault="00C14EA7" w:rsidP="00C14EA7">
            <w:pPr>
              <w:spacing w:line="240" w:lineRule="auto"/>
              <w:jc w:val="both"/>
              <w:rPr>
                <w:rFonts w:ascii="Times New Roman" w:hAnsi="Times New Roman"/>
              </w:rPr>
            </w:pPr>
          </w:p>
        </w:tc>
        <w:tc>
          <w:tcPr>
            <w:tcW w:w="2293" w:type="dxa"/>
            <w:gridSpan w:val="3"/>
            <w:shd w:val="clear" w:color="auto" w:fill="FFFFFF"/>
          </w:tcPr>
          <w:p w14:paraId="09B89494" w14:textId="77777777" w:rsidR="00C14EA7" w:rsidRPr="009F00FC" w:rsidRDefault="00C14EA7" w:rsidP="00C14EA7">
            <w:pPr>
              <w:spacing w:line="240" w:lineRule="auto"/>
              <w:rPr>
                <w:rFonts w:ascii="Times New Roman" w:hAnsi="Times New Roman"/>
              </w:rPr>
            </w:pPr>
            <w:r w:rsidRPr="009F00FC">
              <w:rPr>
                <w:rFonts w:ascii="Times New Roman" w:hAnsi="Times New Roman"/>
              </w:rPr>
              <w:t>osoby z niepełnosprawnością oraz osoby starsze</w:t>
            </w:r>
          </w:p>
        </w:tc>
        <w:tc>
          <w:tcPr>
            <w:tcW w:w="7048" w:type="dxa"/>
            <w:gridSpan w:val="9"/>
            <w:shd w:val="clear" w:color="auto" w:fill="FFFFFF"/>
          </w:tcPr>
          <w:p w14:paraId="09289D4D" w14:textId="244E6F3B" w:rsidR="00C14EA7" w:rsidRPr="009F00FC" w:rsidRDefault="00A11D5F" w:rsidP="00C14EA7">
            <w:pPr>
              <w:spacing w:line="240" w:lineRule="auto"/>
              <w:jc w:val="both"/>
              <w:rPr>
                <w:rFonts w:ascii="Times New Roman" w:hAnsi="Times New Roman"/>
              </w:rPr>
            </w:pPr>
            <w:r w:rsidRPr="009F00FC">
              <w:rPr>
                <w:rFonts w:ascii="Times New Roman" w:hAnsi="Times New Roman"/>
              </w:rPr>
              <w:t>Osoby, które odniosły uszczerbek na zdrowiu w wyniku niezgodnego z prawem oddziaływania instalacji przemysłowych będą mogły dochodzić odszkodowań na drodze sądowej.</w:t>
            </w:r>
          </w:p>
        </w:tc>
      </w:tr>
      <w:tr w:rsidR="009F00FC" w:rsidRPr="009F00FC" w14:paraId="64F85698" w14:textId="77777777" w:rsidTr="00C14EA7">
        <w:trPr>
          <w:trHeight w:val="142"/>
          <w:jc w:val="center"/>
        </w:trPr>
        <w:tc>
          <w:tcPr>
            <w:tcW w:w="1596" w:type="dxa"/>
            <w:shd w:val="clear" w:color="auto" w:fill="FFFFFF"/>
          </w:tcPr>
          <w:p w14:paraId="5ED73824"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Niemierzalne</w:t>
            </w:r>
          </w:p>
        </w:tc>
        <w:tc>
          <w:tcPr>
            <w:tcW w:w="2293" w:type="dxa"/>
            <w:gridSpan w:val="3"/>
            <w:shd w:val="clear" w:color="auto" w:fill="FFFFFF"/>
          </w:tcPr>
          <w:p w14:paraId="0191B066" w14:textId="45D46ADE" w:rsidR="00C14EA7" w:rsidRPr="009F00FC" w:rsidRDefault="00C14EA7" w:rsidP="00C14EA7">
            <w:pPr>
              <w:spacing w:line="240" w:lineRule="auto"/>
              <w:jc w:val="both"/>
              <w:rPr>
                <w:rFonts w:ascii="Times New Roman" w:hAnsi="Times New Roman"/>
              </w:rPr>
            </w:pPr>
          </w:p>
        </w:tc>
        <w:tc>
          <w:tcPr>
            <w:tcW w:w="7048" w:type="dxa"/>
            <w:gridSpan w:val="9"/>
            <w:shd w:val="clear" w:color="auto" w:fill="FFFFFF"/>
          </w:tcPr>
          <w:p w14:paraId="33692D37" w14:textId="349EA95F" w:rsidR="00C14EA7" w:rsidRPr="009F00FC" w:rsidRDefault="00C14EA7" w:rsidP="009A7B8F">
            <w:pPr>
              <w:spacing w:line="240" w:lineRule="auto"/>
              <w:jc w:val="both"/>
              <w:rPr>
                <w:rFonts w:ascii="Times New Roman" w:hAnsi="Times New Roman"/>
                <w:spacing w:val="-2"/>
              </w:rPr>
            </w:pPr>
            <w:r w:rsidRPr="009F00FC">
              <w:rPr>
                <w:rFonts w:ascii="Times New Roman" w:hAnsi="Times New Roman"/>
                <w:spacing w:val="-2"/>
              </w:rPr>
              <w:t>Łagodzenie skutków zmian klimatu i poprawa stanu gospodarki wodnej kraju.</w:t>
            </w:r>
          </w:p>
        </w:tc>
      </w:tr>
      <w:tr w:rsidR="009F00FC" w:rsidRPr="009F00FC" w14:paraId="3F37D571" w14:textId="77777777" w:rsidTr="00C14EA7">
        <w:trPr>
          <w:trHeight w:val="562"/>
          <w:jc w:val="center"/>
        </w:trPr>
        <w:tc>
          <w:tcPr>
            <w:tcW w:w="2243" w:type="dxa"/>
            <w:gridSpan w:val="2"/>
            <w:shd w:val="clear" w:color="auto" w:fill="FFFFFF"/>
          </w:tcPr>
          <w:p w14:paraId="4F23262A"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 xml:space="preserve">Dodatkowe informacje, w tym wskazanie źródeł danych i przyjętych do obliczeń założeń </w:t>
            </w:r>
          </w:p>
        </w:tc>
        <w:tc>
          <w:tcPr>
            <w:tcW w:w="8694" w:type="dxa"/>
            <w:gridSpan w:val="11"/>
            <w:shd w:val="clear" w:color="auto" w:fill="FFFFFF"/>
            <w:vAlign w:val="center"/>
          </w:tcPr>
          <w:p w14:paraId="7FF7BA17" w14:textId="35901291" w:rsidR="00A11D5F" w:rsidRDefault="00C1071E" w:rsidP="002B13D9">
            <w:pPr>
              <w:spacing w:after="120" w:line="240" w:lineRule="auto"/>
              <w:jc w:val="both"/>
              <w:rPr>
                <w:rFonts w:ascii="Times New Roman" w:hAnsi="Times New Roman"/>
              </w:rPr>
            </w:pPr>
            <w:r w:rsidRPr="009F00FC">
              <w:rPr>
                <w:rFonts w:ascii="Times New Roman" w:hAnsi="Times New Roman"/>
              </w:rPr>
              <w:t>P</w:t>
            </w:r>
            <w:r w:rsidR="00E473E0" w:rsidRPr="009F00FC">
              <w:rPr>
                <w:rFonts w:ascii="Times New Roman" w:hAnsi="Times New Roman"/>
              </w:rPr>
              <w:t xml:space="preserve">rzedmiotowa regulacja będzie miała wpływ na warunki funkcjonowania przedsiębiorstw </w:t>
            </w:r>
            <w:r w:rsidR="00E473E0" w:rsidRPr="009F00FC">
              <w:rPr>
                <w:rFonts w:ascii="Times New Roman" w:hAnsi="Times New Roman"/>
              </w:rPr>
              <w:br/>
              <w:t xml:space="preserve">w związku z koniecznością dostosowania instalacji do nowych wymogów ochrony środowiska. Najbardziej zagrożone koniecznością poniesienia wysokich kosztów będą te podmioty gospodarcze, które dostosowywały funkcjonowanie instalacji jedynie do minimalnych wymagań w zakresie ochrony środowiska. Znacznie mniejsze ryzyko poniesienia wysokich kosztów istnieje w przypadku podmiotów, które w ostatnich dziesięciu latach dokonały inwestycji </w:t>
            </w:r>
            <w:r w:rsidR="00E473E0" w:rsidRPr="009F00FC">
              <w:rPr>
                <w:rFonts w:ascii="Times New Roman" w:hAnsi="Times New Roman"/>
              </w:rPr>
              <w:br/>
              <w:t xml:space="preserve">w technologie środowiskowe i urządzenia ochronne. </w:t>
            </w:r>
            <w:r w:rsidR="00A11D5F" w:rsidRPr="009F00FC">
              <w:rPr>
                <w:rFonts w:ascii="Times New Roman" w:hAnsi="Times New Roman"/>
              </w:rPr>
              <w:t xml:space="preserve">Należy jednak zaznaczyć, że główny ciężar wydatków będzie zależał do wymagań jakie dopiero zostaną określone w </w:t>
            </w:r>
            <w:r w:rsidR="009F4AEC" w:rsidRPr="009F00FC">
              <w:rPr>
                <w:rFonts w:ascii="Times New Roman" w:hAnsi="Times New Roman"/>
              </w:rPr>
              <w:t>k</w:t>
            </w:r>
            <w:r w:rsidR="00A11D5F" w:rsidRPr="009F00FC">
              <w:rPr>
                <w:rFonts w:ascii="Times New Roman" w:hAnsi="Times New Roman"/>
              </w:rPr>
              <w:t>onkluzjach BAT dla poszczególnych branż przemysłowych.</w:t>
            </w:r>
          </w:p>
          <w:p w14:paraId="317AB754" w14:textId="25B9F631" w:rsidR="002535CE" w:rsidRDefault="002535CE" w:rsidP="002B13D9">
            <w:pPr>
              <w:pStyle w:val="Akapitzlist"/>
              <w:spacing w:after="120" w:line="240" w:lineRule="auto"/>
              <w:ind w:left="0"/>
              <w:jc w:val="both"/>
              <w:rPr>
                <w:rFonts w:ascii="Times New Roman" w:hAnsi="Times New Roman"/>
              </w:rPr>
            </w:pPr>
            <w:r w:rsidRPr="00570B95">
              <w:rPr>
                <w:rFonts w:ascii="Times New Roman" w:hAnsi="Times New Roman"/>
              </w:rPr>
              <w:t xml:space="preserve">Wykonanie reprezentatywnego studium przypadku będzie zadaniem bardzo trudnym gdyż większość kosztów wiąże się z dostosowaniem do Konkluzji BAT które dopiero są opracowywane (lub będą w przyszłości). Ponadto instalacje nawet w obrębie jednej branży mogą znacznie różnić się od siebie w zakresie stosowanych technologii i emisji do środowiska. Dlatego też koszty dostosowania np. instalacji produkującej ceramikę budowalną będą nieporównywalne z kosztami  oszacowanymi dla ceramiki sanitarnej  czy produkcji płytek ceramicznych. Natomiast kosztów  dla tych rodzajów działalności nie sposób zestawić z kosztami dla produkcji stali wynikającymi z innych konkluzji BAT. </w:t>
            </w:r>
          </w:p>
          <w:p w14:paraId="5F0ED566" w14:textId="583D98D7" w:rsidR="0044434B" w:rsidRDefault="00A11D5F" w:rsidP="002B13D9">
            <w:pPr>
              <w:spacing w:after="120" w:line="240" w:lineRule="auto"/>
              <w:jc w:val="both"/>
              <w:rPr>
                <w:rFonts w:ascii="Times New Roman" w:hAnsi="Times New Roman"/>
              </w:rPr>
            </w:pPr>
            <w:r w:rsidRPr="009F00FC">
              <w:rPr>
                <w:rFonts w:ascii="Times New Roman" w:hAnsi="Times New Roman"/>
              </w:rPr>
              <w:t>Wdrożenie obowiązków wynikających bezpośrednio z dyrektywy 2024/1785 będzie także wiązało się z koniecznością poniesienia dodatkowych nakładów finansowych związanych z formalnym dostosowaniem posiadanych decyzji czy wdrożeniem lub zmianą systemu zarządzania środowiskowego</w:t>
            </w:r>
            <w:r w:rsidR="00CB534B">
              <w:rPr>
                <w:rFonts w:ascii="Times New Roman" w:hAnsi="Times New Roman"/>
              </w:rPr>
              <w:t>, w ramach którego przeprowadzane będą okresowe kontrole przez certyfikowanych weryfikatorów</w:t>
            </w:r>
            <w:r w:rsidRPr="009F00FC">
              <w:rPr>
                <w:rFonts w:ascii="Times New Roman" w:hAnsi="Times New Roman"/>
              </w:rPr>
              <w:t>.</w:t>
            </w:r>
            <w:r w:rsidR="00B37CDA">
              <w:rPr>
                <w:rFonts w:ascii="Times New Roman" w:hAnsi="Times New Roman"/>
              </w:rPr>
              <w:t xml:space="preserve"> Koszty z tym związane wystąpią po stronie podmiotów chcących przeprowadzać takie weryfikacje i będą związane z poszerzeniem zakresu posiadanych akredytacji o elementy niezbędne do kontroli systemu zarządzania spełniającego kryteria wskazane w art. 14a IED. Zakres takiego poszerzenia będzie zależał przede wszystkim od zakresu posiadanych już akredytacji i kompetencji posiadanych przez dany podmiot.</w:t>
            </w:r>
          </w:p>
          <w:p w14:paraId="04F571AA" w14:textId="5419B6D1" w:rsidR="0076319E" w:rsidRDefault="0076319E" w:rsidP="002B13D9">
            <w:pPr>
              <w:spacing w:after="120" w:line="240" w:lineRule="auto"/>
              <w:jc w:val="both"/>
              <w:rPr>
                <w:rFonts w:ascii="Times New Roman" w:hAnsi="Times New Roman"/>
              </w:rPr>
            </w:pPr>
            <w:r>
              <w:rPr>
                <w:rFonts w:ascii="Times New Roman" w:hAnsi="Times New Roman"/>
              </w:rPr>
              <w:t>Analiza wykonywana</w:t>
            </w:r>
            <w:r w:rsidRPr="00AA656B">
              <w:rPr>
                <w:rFonts w:ascii="Times New Roman" w:hAnsi="Times New Roman"/>
              </w:rPr>
              <w:t xml:space="preserve"> w celu określenia najostrzejszych możliwych do osiągnięcia granicznych wielkości emisyjnych (ang. BAT AELs)</w:t>
            </w:r>
            <w:r>
              <w:rPr>
                <w:rFonts w:ascii="Times New Roman" w:hAnsi="Times New Roman"/>
              </w:rPr>
              <w:t xml:space="preserve"> stanowić będzie element wniosku o wydanie/zmianę pozwolenia zintegrowanego. W obecnym stanie prawnym wniosek o wydanie pozwolenia zintegrowanego powinien zawierać elementy wskazane m.in. w art. 184 ust. 2 oraz 208 ust. 2 ustawy Poś. Tym samym opracowywana dokumentacja zawiera informacje dot. stosowanych technik oraz uzyskiwanych wielkości emisji. Proponowane zmiany wpłyną jedynie na konieczność wykorzystania tych informacji do wskazania jaka wielkość emisji z przedziału BAT AELs jest realnie możliwa do osiągnięcia. Nie przewiduje się, aby wpłynęło to na wzrost kosztów oraz czasochłonność przygotowania wniosku. Elementem powiązanym z przedmiotową analizą, który może wpływać na czas trwania postępowań są zmiany związane z poszerzeniem zakresu udziału społeczeństwa. Zgodnie z postanowieniami zmienionej IED społeczeństwo będzie mieć prawo uczestniczenia, na prawach strony, w postępowaniach związanych z dostosowaniem pozwoleń zintegrowanych do konkluzji BAT. Analiza wykonana przez prowadzącego instalację będzie więc mogła być kwestionowana, a stronie będzie przysługiwać prawo do odwołania. Są </w:t>
            </w:r>
            <w:r>
              <w:rPr>
                <w:rFonts w:ascii="Times New Roman" w:hAnsi="Times New Roman"/>
              </w:rPr>
              <w:lastRenderedPageBreak/>
              <w:t xml:space="preserve">to jednak konsekwencje niezwiązane z samą analizą, których koszty oraz czas trwania można jedynie oceniać ex-post, indywidulanie dla każdego przypadku. </w:t>
            </w:r>
          </w:p>
          <w:p w14:paraId="27A2E58C" w14:textId="4CE5128B" w:rsidR="00A11D5F" w:rsidRPr="009F00FC" w:rsidRDefault="0076319E" w:rsidP="002B13D9">
            <w:pPr>
              <w:spacing w:after="120" w:line="240" w:lineRule="auto"/>
              <w:jc w:val="both"/>
              <w:rPr>
                <w:rFonts w:ascii="Times New Roman" w:hAnsi="Times New Roman"/>
              </w:rPr>
            </w:pPr>
            <w:r>
              <w:rPr>
                <w:rFonts w:ascii="Times New Roman" w:hAnsi="Times New Roman"/>
              </w:rPr>
              <w:t>Ponadto nowelizacja zakłada możliwość transpozycji konkluzji BAT do prawa krajowego, np. w formie rozporządzenia, które byłoby stosowane wprost, wskazując jaka wartość z przedziału BAT AELs ma zastosowanie do danego rodzaju źródeł emisji lub instalacji</w:t>
            </w:r>
            <w:r w:rsidR="0044434B">
              <w:rPr>
                <w:rFonts w:ascii="Times New Roman" w:hAnsi="Times New Roman"/>
              </w:rPr>
              <w:t xml:space="preserve">. Wydanie takiego rozporządzenia wyeliminuje lub ograniczy zakres analizy wykonywanej </w:t>
            </w:r>
            <w:r w:rsidR="0044434B" w:rsidRPr="00AA656B">
              <w:rPr>
                <w:rFonts w:ascii="Times New Roman" w:hAnsi="Times New Roman"/>
              </w:rPr>
              <w:t>w celu określenia najostrzejszych możliwych do osiągnięcia granicznych wielkości emisyjnych (ang. BAT AELs)</w:t>
            </w:r>
          </w:p>
          <w:p w14:paraId="0D652B40" w14:textId="2A71B860" w:rsidR="0044434B" w:rsidRDefault="00E473E0" w:rsidP="002B13D9">
            <w:pPr>
              <w:spacing w:after="120" w:line="240" w:lineRule="auto"/>
              <w:jc w:val="both"/>
              <w:rPr>
                <w:rFonts w:ascii="Times New Roman" w:hAnsi="Times New Roman"/>
              </w:rPr>
            </w:pPr>
            <w:r w:rsidRPr="009F00FC">
              <w:rPr>
                <w:rFonts w:ascii="Times New Roman" w:hAnsi="Times New Roman"/>
              </w:rPr>
              <w:t>W chwili obecnej nie jest możliwe dokładne oszacowanie kosztów, jakie przedsiębiorcy objęci zakresem przedmiotowej regulacji będą musieli ponieść w związku z koniecznością dostosowania do nowych przepisów</w:t>
            </w:r>
            <w:r w:rsidR="0076319E">
              <w:rPr>
                <w:rFonts w:ascii="Times New Roman" w:hAnsi="Times New Roman"/>
              </w:rPr>
              <w:t>, gdyż będzie to powiązane z rodzajem, wielkością oraz aktualnym stanem danej instalacji</w:t>
            </w:r>
            <w:r w:rsidRPr="009F00FC">
              <w:rPr>
                <w:rFonts w:ascii="Times New Roman" w:hAnsi="Times New Roman"/>
              </w:rPr>
              <w:t xml:space="preserve">. </w:t>
            </w:r>
          </w:p>
          <w:p w14:paraId="35AB51C2" w14:textId="77777777" w:rsidR="00F40492" w:rsidRPr="00755B92" w:rsidRDefault="00F40492" w:rsidP="002B13D9">
            <w:pPr>
              <w:spacing w:after="120" w:line="240" w:lineRule="auto"/>
              <w:jc w:val="both"/>
              <w:rPr>
                <w:rFonts w:ascii="Times New Roman" w:hAnsi="Times New Roman"/>
              </w:rPr>
            </w:pPr>
            <w:r>
              <w:rPr>
                <w:rFonts w:ascii="Times New Roman" w:hAnsi="Times New Roman"/>
              </w:rPr>
              <w:t>S</w:t>
            </w:r>
            <w:r w:rsidRPr="00755B92">
              <w:rPr>
                <w:rFonts w:ascii="Times New Roman" w:hAnsi="Times New Roman"/>
              </w:rPr>
              <w:t>zacunkowe koszty związane z funkcjonowanie</w:t>
            </w:r>
            <w:r>
              <w:rPr>
                <w:rFonts w:ascii="Times New Roman" w:hAnsi="Times New Roman"/>
              </w:rPr>
              <w:t>m</w:t>
            </w:r>
            <w:r w:rsidRPr="00755B92">
              <w:rPr>
                <w:rFonts w:ascii="Times New Roman" w:hAnsi="Times New Roman"/>
              </w:rPr>
              <w:t xml:space="preserve"> stacji monitoringu powietrza </w:t>
            </w:r>
            <w:r>
              <w:rPr>
                <w:rFonts w:ascii="Times New Roman" w:hAnsi="Times New Roman"/>
              </w:rPr>
              <w:t>(dane pozyskane z</w:t>
            </w:r>
            <w:r w:rsidRPr="00755B92">
              <w:rPr>
                <w:rFonts w:ascii="Times New Roman" w:hAnsi="Times New Roman"/>
              </w:rPr>
              <w:t xml:space="preserve"> Krajowego Laboratorium Referencyjnego ds. badań powietrza atmosferycznego</w:t>
            </w:r>
            <w:r>
              <w:rPr>
                <w:rFonts w:ascii="Times New Roman" w:hAnsi="Times New Roman"/>
              </w:rPr>
              <w:t>), czyli zakupu i wyposażenia stacji:</w:t>
            </w:r>
          </w:p>
          <w:p w14:paraId="086C55B9" w14:textId="77777777" w:rsidR="00F40492" w:rsidRPr="00755B92" w:rsidRDefault="00F40492" w:rsidP="00BA2AF3">
            <w:pPr>
              <w:spacing w:line="240" w:lineRule="auto"/>
              <w:rPr>
                <w:rFonts w:ascii="Times New Roman" w:hAnsi="Times New Roman"/>
              </w:rPr>
            </w:pPr>
            <w:r w:rsidRPr="00755B92">
              <w:rPr>
                <w:rFonts w:ascii="Times New Roman" w:hAnsi="Times New Roman"/>
              </w:rPr>
              <w:t>Kontener: 80 000 zł</w:t>
            </w:r>
          </w:p>
          <w:p w14:paraId="3F21504E" w14:textId="77777777" w:rsidR="00F40492" w:rsidRPr="00755B92" w:rsidRDefault="00F40492" w:rsidP="00BA2AF3">
            <w:pPr>
              <w:spacing w:line="240" w:lineRule="auto"/>
              <w:rPr>
                <w:rFonts w:ascii="Times New Roman" w:hAnsi="Times New Roman"/>
              </w:rPr>
            </w:pPr>
            <w:r w:rsidRPr="00755B92">
              <w:rPr>
                <w:rFonts w:ascii="Times New Roman" w:hAnsi="Times New Roman"/>
              </w:rPr>
              <w:t>Analizator pyłu PM10/PM2,5 (pomiar ciągły): 150 000 zł</w:t>
            </w:r>
          </w:p>
          <w:p w14:paraId="7C129FB7" w14:textId="77777777" w:rsidR="00F40492" w:rsidRPr="00755B92" w:rsidRDefault="00F40492" w:rsidP="00BA2AF3">
            <w:pPr>
              <w:spacing w:line="240" w:lineRule="auto"/>
              <w:rPr>
                <w:rFonts w:ascii="Times New Roman" w:hAnsi="Times New Roman"/>
              </w:rPr>
            </w:pPr>
            <w:r w:rsidRPr="00755B92">
              <w:rPr>
                <w:rFonts w:ascii="Times New Roman" w:hAnsi="Times New Roman"/>
              </w:rPr>
              <w:t>Analizator NOx: 70 000</w:t>
            </w:r>
          </w:p>
          <w:p w14:paraId="71863872" w14:textId="77777777" w:rsidR="00F40492" w:rsidRPr="00755B92" w:rsidRDefault="00F40492" w:rsidP="00BA2AF3">
            <w:pPr>
              <w:spacing w:line="240" w:lineRule="auto"/>
              <w:rPr>
                <w:rFonts w:ascii="Times New Roman" w:hAnsi="Times New Roman"/>
              </w:rPr>
            </w:pPr>
            <w:r w:rsidRPr="00755B92">
              <w:rPr>
                <w:rFonts w:ascii="Times New Roman" w:hAnsi="Times New Roman"/>
              </w:rPr>
              <w:t>Analizator SO2: 55 000 zł</w:t>
            </w:r>
          </w:p>
          <w:p w14:paraId="45306F1D" w14:textId="77777777" w:rsidR="00F40492" w:rsidRPr="00755B92" w:rsidRDefault="00F40492" w:rsidP="00BA2AF3">
            <w:pPr>
              <w:spacing w:after="120" w:line="240" w:lineRule="auto"/>
              <w:rPr>
                <w:rFonts w:ascii="Times New Roman" w:hAnsi="Times New Roman"/>
              </w:rPr>
            </w:pPr>
            <w:r w:rsidRPr="00755B92">
              <w:rPr>
                <w:rFonts w:ascii="Times New Roman" w:hAnsi="Times New Roman"/>
              </w:rPr>
              <w:t>Data logger: 60 000 zł</w:t>
            </w:r>
          </w:p>
          <w:p w14:paraId="588410D1" w14:textId="0A168378" w:rsidR="009B1972" w:rsidRPr="00570B95" w:rsidRDefault="009B1972" w:rsidP="00BA2AF3">
            <w:pPr>
              <w:spacing w:after="120" w:line="240" w:lineRule="auto"/>
              <w:jc w:val="both"/>
              <w:rPr>
                <w:rFonts w:ascii="Times New Roman" w:hAnsi="Times New Roman"/>
              </w:rPr>
            </w:pPr>
            <w:r w:rsidRPr="00570B95">
              <w:rPr>
                <w:rFonts w:ascii="Times New Roman" w:hAnsi="Times New Roman"/>
              </w:rPr>
              <w:t xml:space="preserve">W zakresie poziomów efektywności środowiskowej dotyczących elementów takich jak np. efektywność energetyczna czy zużycie wody (elementów stanowiących istotny koszt dla prowadzących instalacje) wskazanie technik mogących obniżyć zużycie tych surowców może mieć przełożenie na zmniejszenie kosztów prowadzenia działalności. Natomiast tam gdzie z uzasadnionych przyczyn instalacja nie będzie w stanie dotrzymać poziomów wskazanych w konkluzjach BAT, możliwe będzie zawnioskowanie o odstępstwo – na zasadach zbliżonych do tych dotyczących wielkości emisji.  </w:t>
            </w:r>
          </w:p>
          <w:p w14:paraId="3AD7FEAE" w14:textId="4ED102A1" w:rsidR="00C1071E" w:rsidRPr="00263E92" w:rsidRDefault="00987EDA" w:rsidP="002B13D9">
            <w:pPr>
              <w:spacing w:after="120" w:line="240" w:lineRule="auto"/>
              <w:jc w:val="both"/>
              <w:rPr>
                <w:rFonts w:ascii="Times New Roman" w:hAnsi="Times New Roman"/>
              </w:rPr>
            </w:pPr>
            <w:r w:rsidRPr="009F00FC">
              <w:rPr>
                <w:rFonts w:ascii="Times New Roman" w:hAnsi="Times New Roman"/>
              </w:rPr>
              <w:t xml:space="preserve">W ramach danych zebranych od inspekcji ochrony środowiska zidentyfikowanych </w:t>
            </w:r>
            <w:r w:rsidR="00407FE2" w:rsidRPr="009F00FC">
              <w:rPr>
                <w:rFonts w:ascii="Times New Roman" w:hAnsi="Times New Roman"/>
              </w:rPr>
              <w:t>zostało 3</w:t>
            </w:r>
            <w:r w:rsidR="00F40492">
              <w:rPr>
                <w:rFonts w:ascii="Times New Roman" w:hAnsi="Times New Roman"/>
              </w:rPr>
              <w:t>59</w:t>
            </w:r>
            <w:r w:rsidR="00407FE2" w:rsidRPr="009F00FC">
              <w:rPr>
                <w:rFonts w:ascii="Times New Roman" w:hAnsi="Times New Roman"/>
              </w:rPr>
              <w:t xml:space="preserve"> </w:t>
            </w:r>
            <w:r w:rsidR="00A11D5F" w:rsidRPr="009F00FC">
              <w:rPr>
                <w:rFonts w:ascii="Times New Roman" w:hAnsi="Times New Roman"/>
              </w:rPr>
              <w:t xml:space="preserve">nowych </w:t>
            </w:r>
            <w:r w:rsidR="00407FE2" w:rsidRPr="009F00FC">
              <w:rPr>
                <w:rFonts w:ascii="Times New Roman" w:hAnsi="Times New Roman"/>
              </w:rPr>
              <w:t>instalacji do chowu drobiu i świń. Zgodnie z przepisami dyrektywy 2024/1785 instalacje te w zależności od wielkości muszą spełniać wymagania dyrektywy nie później niż 2030 r. dla instalacji o 600 DJP lub więcej, 2031 r. dla instalacji o 400 DJP lub więcej i 2032 r. dla pozostałych instalacji z tej branży.</w:t>
            </w:r>
            <w:r w:rsidR="00A11D5F" w:rsidRPr="009F00FC">
              <w:rPr>
                <w:rFonts w:ascii="Times New Roman" w:hAnsi="Times New Roman"/>
              </w:rPr>
              <w:t xml:space="preserve"> Tak jak wspomniano powyżej, z uwagi na brak wymagań BAT, do których instalacje te będą musiały się dostosować nie jest możliwe oszacowanie kosztów związanych z włączeniem ich w zakres dyrektywy. </w:t>
            </w:r>
            <w:r w:rsidR="00407FE2" w:rsidRPr="009F00FC">
              <w:rPr>
                <w:rFonts w:ascii="Times New Roman" w:hAnsi="Times New Roman"/>
              </w:rPr>
              <w:t xml:space="preserve">Możliwe jest ogólne oszacowanie kosztów wynikających z opłaty rejestracyjnej, która </w:t>
            </w:r>
            <w:r w:rsidR="00D96EC6" w:rsidRPr="009F00FC">
              <w:rPr>
                <w:rFonts w:ascii="Times New Roman" w:hAnsi="Times New Roman"/>
              </w:rPr>
              <w:t xml:space="preserve">będzie musiała zostać uiszczona przez prowadzącego instalację. </w:t>
            </w:r>
            <w:r w:rsidR="00407FE2" w:rsidRPr="009F00FC">
              <w:rPr>
                <w:rFonts w:ascii="Times New Roman" w:hAnsi="Times New Roman"/>
              </w:rPr>
              <w:t xml:space="preserve">Opłata taka w przypadku instalacji może wynosić od 1200 zł do 12000 </w:t>
            </w:r>
            <w:r w:rsidR="00407FE2" w:rsidRPr="00263E92">
              <w:rPr>
                <w:rFonts w:ascii="Times New Roman" w:hAnsi="Times New Roman"/>
              </w:rPr>
              <w:t xml:space="preserve">zł w zależności od wielkości instalacji. </w:t>
            </w:r>
          </w:p>
          <w:p w14:paraId="69F93CDA" w14:textId="01011D25" w:rsidR="00C1071E" w:rsidRPr="00263E92" w:rsidRDefault="00263E92" w:rsidP="002B13D9">
            <w:pPr>
              <w:spacing w:after="120" w:line="240" w:lineRule="auto"/>
              <w:jc w:val="both"/>
              <w:rPr>
                <w:rFonts w:ascii="Times New Roman" w:hAnsi="Times New Roman"/>
              </w:rPr>
            </w:pPr>
            <w:r w:rsidRPr="00570B95">
              <w:rPr>
                <w:rFonts w:ascii="Times New Roman" w:hAnsi="Times New Roman"/>
              </w:rPr>
              <w:t xml:space="preserve">W </w:t>
            </w:r>
            <w:r w:rsidR="0044434B">
              <w:rPr>
                <w:rFonts w:ascii="Times New Roman" w:hAnsi="Times New Roman"/>
              </w:rPr>
              <w:t>odniesieniu do</w:t>
            </w:r>
            <w:r w:rsidRPr="00570B95">
              <w:rPr>
                <w:rFonts w:ascii="Times New Roman" w:hAnsi="Times New Roman"/>
              </w:rPr>
              <w:t xml:space="preserve"> </w:t>
            </w:r>
            <w:r w:rsidR="0044434B">
              <w:rPr>
                <w:rFonts w:ascii="Times New Roman" w:hAnsi="Times New Roman"/>
              </w:rPr>
              <w:t>wprowadzenia tzw. „zasady sumowania” dla instalacji do intensywnego chowu drobiu lub świń nie jest możliwe oszacowanie w jaki sposób wpłynie to na zwiększenie liczby instalacji posiadających pozwolenia zintegrowane</w:t>
            </w:r>
            <w:r w:rsidR="00B37CDA">
              <w:rPr>
                <w:rFonts w:ascii="Times New Roman" w:hAnsi="Times New Roman"/>
              </w:rPr>
              <w:t>.</w:t>
            </w:r>
            <w:r w:rsidRPr="00570B95">
              <w:rPr>
                <w:rFonts w:ascii="Times New Roman" w:hAnsi="Times New Roman"/>
              </w:rPr>
              <w:t xml:space="preserve"> MKiŚ nie zbiera takich informacji a dostępne dane będą ograniczone tylko do sytuacji gdzie toczyło się w danej sprawie postępowanie administracyjne np. w GIOŚ. Można jednak założyć, że nie wpłynie to istotnie na wzrost ilości ferm objętych zakresem regulacji z uwagi na uwarunkowania rynkowe gdzie opłacalność produkcji np. dla drobiu znacznie przekracza prób 40 000 stanowisk</w:t>
            </w:r>
            <w:r>
              <w:rPr>
                <w:rFonts w:ascii="Times New Roman" w:hAnsi="Times New Roman"/>
              </w:rPr>
              <w:t>,</w:t>
            </w:r>
            <w:r w:rsidRPr="00570B95">
              <w:rPr>
                <w:rFonts w:ascii="Times New Roman" w:hAnsi="Times New Roman"/>
              </w:rPr>
              <w:t xml:space="preserve"> a pojedynczy kurnik mieści </w:t>
            </w:r>
            <w:r w:rsidR="00B37CDA">
              <w:rPr>
                <w:rFonts w:ascii="Times New Roman" w:hAnsi="Times New Roman"/>
              </w:rPr>
              <w:t>nawet ok</w:t>
            </w:r>
            <w:r w:rsidRPr="00570B95">
              <w:rPr>
                <w:rFonts w:ascii="Times New Roman" w:hAnsi="Times New Roman"/>
              </w:rPr>
              <w:t xml:space="preserve"> 80 000 szt</w:t>
            </w:r>
            <w:r>
              <w:rPr>
                <w:rFonts w:ascii="Times New Roman" w:hAnsi="Times New Roman"/>
              </w:rPr>
              <w:t>.</w:t>
            </w:r>
            <w:r w:rsidRPr="00570B95">
              <w:rPr>
                <w:rFonts w:ascii="Times New Roman" w:hAnsi="Times New Roman"/>
              </w:rPr>
              <w:t xml:space="preserve"> brojlera.</w:t>
            </w:r>
          </w:p>
          <w:p w14:paraId="03238470" w14:textId="52FE0EEE" w:rsidR="00E473E0" w:rsidRPr="009F00FC" w:rsidRDefault="00E473E0" w:rsidP="002B13D9">
            <w:pPr>
              <w:spacing w:after="120" w:line="240" w:lineRule="auto"/>
              <w:jc w:val="both"/>
              <w:rPr>
                <w:rFonts w:ascii="Times New Roman" w:hAnsi="Times New Roman"/>
              </w:rPr>
            </w:pPr>
            <w:r w:rsidRPr="00263E92">
              <w:rPr>
                <w:rFonts w:ascii="Times New Roman" w:hAnsi="Times New Roman"/>
              </w:rPr>
              <w:t xml:space="preserve">Można zakładać, że </w:t>
            </w:r>
            <w:r w:rsidR="00A11D5F" w:rsidRPr="00263E92">
              <w:rPr>
                <w:rFonts w:ascii="Times New Roman" w:hAnsi="Times New Roman"/>
              </w:rPr>
              <w:t xml:space="preserve">po publikacji nowych </w:t>
            </w:r>
            <w:r w:rsidR="00570B95">
              <w:rPr>
                <w:rFonts w:ascii="Times New Roman" w:hAnsi="Times New Roman"/>
              </w:rPr>
              <w:t>k</w:t>
            </w:r>
            <w:r w:rsidR="00A11D5F" w:rsidRPr="00263E92">
              <w:rPr>
                <w:rFonts w:ascii="Times New Roman" w:hAnsi="Times New Roman"/>
              </w:rPr>
              <w:t xml:space="preserve">onkluzji BAT, </w:t>
            </w:r>
            <w:r w:rsidRPr="00263E92">
              <w:rPr>
                <w:rFonts w:ascii="Times New Roman" w:hAnsi="Times New Roman"/>
              </w:rPr>
              <w:t>znaczna część instalacji będzie musiała zostać zmodernizowana</w:t>
            </w:r>
            <w:r w:rsidRPr="009F00FC">
              <w:rPr>
                <w:rFonts w:ascii="Times New Roman" w:hAnsi="Times New Roman"/>
              </w:rPr>
              <w:t xml:space="preserve"> i/lub wyposażona w wysokosprawne urządzenia ograniczające emisję. </w:t>
            </w:r>
          </w:p>
          <w:p w14:paraId="6C222EC2" w14:textId="181A59D1" w:rsidR="00E473E0" w:rsidRPr="009F00FC" w:rsidRDefault="00C1071E" w:rsidP="002B13D9">
            <w:pPr>
              <w:spacing w:after="120" w:line="240" w:lineRule="auto"/>
              <w:jc w:val="both"/>
              <w:rPr>
                <w:rFonts w:ascii="Times New Roman" w:hAnsi="Times New Roman"/>
              </w:rPr>
            </w:pPr>
            <w:r w:rsidRPr="009F00FC">
              <w:rPr>
                <w:rFonts w:ascii="Times New Roman" w:hAnsi="Times New Roman"/>
              </w:rPr>
              <w:t xml:space="preserve">Ustawa </w:t>
            </w:r>
            <w:r w:rsidR="00A11D5F" w:rsidRPr="009F00FC">
              <w:rPr>
                <w:rFonts w:ascii="Times New Roman" w:hAnsi="Times New Roman"/>
              </w:rPr>
              <w:t xml:space="preserve">nadal </w:t>
            </w:r>
            <w:r w:rsidRPr="009F00FC">
              <w:rPr>
                <w:rFonts w:ascii="Times New Roman" w:hAnsi="Times New Roman"/>
              </w:rPr>
              <w:t>dopuszcza możliwość udzielenia pozwolenia z odstępstwem od granicznych wielkości emisyjnych wynikających z konkluzji BAT, pozwalając tym samym na funkcjonowanie instalacji w oparciu o łagodniejsze wymagania dotyczące dopuszczalnych wielkości emisji.</w:t>
            </w:r>
            <w:r w:rsidR="00A11D5F" w:rsidRPr="009F00FC">
              <w:rPr>
                <w:rFonts w:ascii="Times New Roman" w:hAnsi="Times New Roman"/>
              </w:rPr>
              <w:t xml:space="preserve"> Jest to jednak możliwe tylko w ściśle uzasadnionych przepadkach tam gdzie koszty dostosowania niewspółmiernie przewyższają korzyści dla środowiska. Dodatkowo na gruncie przepisów prawa doszczegółowienie zostaną zasady wnioskowania o takie odstępstwo. </w:t>
            </w:r>
            <w:r w:rsidRPr="009F00FC">
              <w:rPr>
                <w:rFonts w:ascii="Times New Roman" w:hAnsi="Times New Roman"/>
              </w:rPr>
              <w:t xml:space="preserve">  </w:t>
            </w:r>
          </w:p>
          <w:p w14:paraId="1D5028E5" w14:textId="03C36B81" w:rsidR="00E473E0" w:rsidRPr="009F00FC" w:rsidRDefault="00E473E0" w:rsidP="002B13D9">
            <w:pPr>
              <w:spacing w:after="120" w:line="240" w:lineRule="auto"/>
              <w:jc w:val="both"/>
              <w:rPr>
                <w:rFonts w:ascii="Times New Roman" w:hAnsi="Times New Roman"/>
              </w:rPr>
            </w:pPr>
            <w:r w:rsidRPr="009F00FC">
              <w:rPr>
                <w:rFonts w:ascii="Times New Roman" w:hAnsi="Times New Roman"/>
              </w:rPr>
              <w:t>Tym niemniej należy pamiętać, że operatorzy dostosowali swoje instalacje do wymagań wynikających z dyrektywy</w:t>
            </w:r>
            <w:r w:rsidR="00C1071E" w:rsidRPr="009F00FC">
              <w:rPr>
                <w:rFonts w:ascii="Times New Roman" w:hAnsi="Times New Roman"/>
              </w:rPr>
              <w:t xml:space="preserve"> 2010/75/UE</w:t>
            </w:r>
            <w:r w:rsidRPr="009F00FC">
              <w:rPr>
                <w:rFonts w:ascii="Times New Roman" w:hAnsi="Times New Roman"/>
              </w:rPr>
              <w:t xml:space="preserve"> i osiągnięcie niższych poziomów emisji w wielu </w:t>
            </w:r>
            <w:r w:rsidRPr="009F00FC">
              <w:rPr>
                <w:rFonts w:ascii="Times New Roman" w:hAnsi="Times New Roman"/>
              </w:rPr>
              <w:lastRenderedPageBreak/>
              <w:t>przypadkach może okazać się możliwe przy zastosowaniu istniejących urządzeń lub nieznacznej ich modyfikacji, co wiąże się już z dużo niższymi nakładami inwestycyjnymi.</w:t>
            </w:r>
          </w:p>
          <w:p w14:paraId="3E9041C4" w14:textId="67BB0D25" w:rsidR="001C7E47" w:rsidRPr="009F00FC" w:rsidRDefault="00A11D5F" w:rsidP="002B13D9">
            <w:pPr>
              <w:spacing w:after="120" w:line="240" w:lineRule="auto"/>
              <w:jc w:val="both"/>
              <w:rPr>
                <w:rFonts w:ascii="Times New Roman" w:hAnsi="Times New Roman"/>
              </w:rPr>
            </w:pPr>
            <w:r w:rsidRPr="009F00FC">
              <w:rPr>
                <w:rFonts w:ascii="Times New Roman" w:hAnsi="Times New Roman"/>
              </w:rPr>
              <w:t>Ponadto</w:t>
            </w:r>
            <w:r w:rsidR="001C7E47" w:rsidRPr="009F00FC">
              <w:rPr>
                <w:rFonts w:ascii="Times New Roman" w:hAnsi="Times New Roman"/>
              </w:rPr>
              <w:t xml:space="preserve"> wydatki poniesione przez przedsiębiorców na dostosowanie do nowych wymagań wynikających z dyrektywy 2024/1785 dadzą wymierny efekt w postaci ograniczenia emisji z instalacji przemysłowych, co z kolei wpłynie pozytywnie na stan środowiska i poprawi jakość życia ludności. Ponadto ograniczenie emisyjności instalacji spowoduje zmniejszenie wydatków związanych z ponoszeniem opłat za korzystanie ze środowiska czy zagospodarowanie wytwarzanych odpadów. </w:t>
            </w:r>
          </w:p>
        </w:tc>
      </w:tr>
      <w:tr w:rsidR="009F00FC" w:rsidRPr="009F00FC" w14:paraId="28B36B63" w14:textId="77777777" w:rsidTr="00C14EA7">
        <w:trPr>
          <w:trHeight w:val="342"/>
          <w:jc w:val="center"/>
        </w:trPr>
        <w:tc>
          <w:tcPr>
            <w:tcW w:w="10937" w:type="dxa"/>
            <w:gridSpan w:val="13"/>
            <w:shd w:val="clear" w:color="auto" w:fill="99CCFF"/>
            <w:vAlign w:val="center"/>
          </w:tcPr>
          <w:p w14:paraId="5C0436B3" w14:textId="77777777" w:rsidR="00C14EA7" w:rsidRPr="009F00FC" w:rsidRDefault="00C14EA7">
            <w:pPr>
              <w:numPr>
                <w:ilvl w:val="0"/>
                <w:numId w:val="4"/>
              </w:numPr>
              <w:spacing w:line="240" w:lineRule="auto"/>
              <w:ind w:left="318" w:hanging="284"/>
              <w:jc w:val="both"/>
              <w:rPr>
                <w:rFonts w:ascii="Times New Roman" w:hAnsi="Times New Roman"/>
                <w:b/>
              </w:rPr>
            </w:pPr>
            <w:r w:rsidRPr="009F00FC">
              <w:rPr>
                <w:rFonts w:ascii="Times New Roman" w:hAnsi="Times New Roman"/>
                <w:b/>
              </w:rPr>
              <w:lastRenderedPageBreak/>
              <w:t xml:space="preserve"> Zmiana obciążeń regulacyjnych (w tym obowiązków informacyjnych) wynikających z projektu</w:t>
            </w:r>
          </w:p>
        </w:tc>
      </w:tr>
      <w:tr w:rsidR="009F00FC" w:rsidRPr="009F00FC" w14:paraId="4DE1BFBA" w14:textId="77777777" w:rsidTr="00C14EA7">
        <w:trPr>
          <w:trHeight w:val="151"/>
          <w:jc w:val="center"/>
        </w:trPr>
        <w:tc>
          <w:tcPr>
            <w:tcW w:w="10937" w:type="dxa"/>
            <w:gridSpan w:val="13"/>
            <w:shd w:val="clear" w:color="auto" w:fill="FFFFFF"/>
          </w:tcPr>
          <w:p w14:paraId="062B8032"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w:t>
            </w:r>
            <w:r w:rsidRPr="009F00FC">
              <w:rPr>
                <w:rFonts w:ascii="Times New Roman" w:hAnsi="Times New Roman"/>
                <w:spacing w:val="-2"/>
              </w:rPr>
              <w:t>nie dotyczy</w:t>
            </w:r>
          </w:p>
        </w:tc>
      </w:tr>
      <w:tr w:rsidR="009F00FC" w:rsidRPr="009F00FC" w14:paraId="4252FC3E" w14:textId="77777777" w:rsidTr="00C14EA7">
        <w:trPr>
          <w:trHeight w:val="764"/>
          <w:jc w:val="center"/>
        </w:trPr>
        <w:tc>
          <w:tcPr>
            <w:tcW w:w="5111" w:type="dxa"/>
            <w:gridSpan w:val="6"/>
            <w:shd w:val="clear" w:color="auto" w:fill="FFFFFF"/>
          </w:tcPr>
          <w:p w14:paraId="688519EF" w14:textId="77777777" w:rsidR="00C14EA7" w:rsidRPr="009F00FC" w:rsidRDefault="00C14EA7" w:rsidP="00C14EA7">
            <w:pPr>
              <w:spacing w:line="240" w:lineRule="auto"/>
              <w:jc w:val="both"/>
              <w:rPr>
                <w:rFonts w:ascii="Times New Roman" w:hAnsi="Times New Roman"/>
                <w:spacing w:val="-2"/>
              </w:rPr>
            </w:pPr>
            <w:r w:rsidRPr="009F00FC">
              <w:rPr>
                <w:rFonts w:ascii="Times New Roman" w:hAnsi="Times New Roman"/>
                <w:spacing w:val="-2"/>
              </w:rPr>
              <w:t xml:space="preserve">Wprowadzane są obciążenia poza bezwzględnie wymaganymi przez UE </w:t>
            </w:r>
            <w:r w:rsidRPr="009F00FC">
              <w:rPr>
                <w:rFonts w:ascii="Times New Roman" w:hAnsi="Times New Roman"/>
              </w:rPr>
              <w:t>(szczegóły w odwróconej tabeli zgodności).</w:t>
            </w:r>
          </w:p>
        </w:tc>
        <w:tc>
          <w:tcPr>
            <w:tcW w:w="5826" w:type="dxa"/>
            <w:gridSpan w:val="7"/>
            <w:shd w:val="clear" w:color="auto" w:fill="FFFFFF"/>
          </w:tcPr>
          <w:p w14:paraId="5540DE15"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tak</w:t>
            </w:r>
          </w:p>
          <w:p w14:paraId="3494B9ED"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Wybór1"/>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nie</w:t>
            </w:r>
          </w:p>
          <w:p w14:paraId="48AD7AF6"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Wybór1"/>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nie dotyczy</w:t>
            </w:r>
          </w:p>
        </w:tc>
      </w:tr>
      <w:tr w:rsidR="009F00FC" w:rsidRPr="009F00FC" w14:paraId="3FEB6D83" w14:textId="77777777" w:rsidTr="00C14EA7">
        <w:trPr>
          <w:trHeight w:val="987"/>
          <w:jc w:val="center"/>
        </w:trPr>
        <w:tc>
          <w:tcPr>
            <w:tcW w:w="5111" w:type="dxa"/>
            <w:gridSpan w:val="6"/>
            <w:shd w:val="clear" w:color="auto" w:fill="FFFFFF"/>
          </w:tcPr>
          <w:p w14:paraId="04A3BE4E" w14:textId="6DF8DF5F" w:rsidR="00C14EA7" w:rsidRPr="009F00FC" w:rsidRDefault="00CC3E4A" w:rsidP="00C14EA7">
            <w:pPr>
              <w:spacing w:line="240" w:lineRule="auto"/>
              <w:jc w:val="both"/>
              <w:rPr>
                <w:rFonts w:ascii="Times New Roman" w:hAnsi="Times New Roman"/>
                <w:spacing w:val="-2"/>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sidR="00C14EA7" w:rsidRPr="009F00FC">
              <w:rPr>
                <w:rFonts w:ascii="Times New Roman" w:hAnsi="Times New Roman"/>
              </w:rPr>
              <w:t xml:space="preserve"> </w:t>
            </w:r>
            <w:r w:rsidR="00C14EA7" w:rsidRPr="009F00FC">
              <w:rPr>
                <w:rFonts w:ascii="Times New Roman" w:hAnsi="Times New Roman"/>
                <w:spacing w:val="-2"/>
              </w:rPr>
              <w:t xml:space="preserve">zmniejszenie liczby dokumentów </w:t>
            </w:r>
          </w:p>
          <w:p w14:paraId="18C85968" w14:textId="77406634" w:rsidR="00C14EA7" w:rsidRPr="009F00FC" w:rsidRDefault="00102E41" w:rsidP="00C14EA7">
            <w:pPr>
              <w:spacing w:line="240" w:lineRule="auto"/>
              <w:jc w:val="both"/>
              <w:rPr>
                <w:rFonts w:ascii="Times New Roman" w:hAnsi="Times New Roman"/>
                <w:spacing w:val="-2"/>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00C14EA7" w:rsidRPr="009F00FC">
              <w:rPr>
                <w:rFonts w:ascii="Times New Roman" w:hAnsi="Times New Roman"/>
              </w:rPr>
              <w:t xml:space="preserve"> </w:t>
            </w:r>
            <w:r w:rsidR="00C14EA7" w:rsidRPr="009F00FC">
              <w:rPr>
                <w:rFonts w:ascii="Times New Roman" w:hAnsi="Times New Roman"/>
                <w:spacing w:val="-2"/>
              </w:rPr>
              <w:t>zmniejszenie liczby procedur</w:t>
            </w:r>
          </w:p>
          <w:p w14:paraId="591A9E8E" w14:textId="6FC79BBA" w:rsidR="00C14EA7" w:rsidRPr="009F00FC" w:rsidRDefault="00102E41" w:rsidP="00C14EA7">
            <w:pPr>
              <w:spacing w:line="240" w:lineRule="auto"/>
              <w:jc w:val="both"/>
              <w:rPr>
                <w:rFonts w:ascii="Times New Roman" w:hAnsi="Times New Roman"/>
                <w:spacing w:val="-2"/>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00C14EA7" w:rsidRPr="009F00FC">
              <w:rPr>
                <w:rFonts w:ascii="Times New Roman" w:hAnsi="Times New Roman"/>
              </w:rPr>
              <w:t xml:space="preserve"> </w:t>
            </w:r>
            <w:r w:rsidR="00C14EA7" w:rsidRPr="009F00FC">
              <w:rPr>
                <w:rFonts w:ascii="Times New Roman" w:hAnsi="Times New Roman"/>
                <w:spacing w:val="-2"/>
              </w:rPr>
              <w:t>skrócenie czasu na załatwienie sprawy</w:t>
            </w:r>
          </w:p>
          <w:p w14:paraId="6D419B21" w14:textId="77777777" w:rsidR="00C14EA7" w:rsidRPr="009F00FC" w:rsidRDefault="00C14EA7" w:rsidP="00C14EA7">
            <w:pPr>
              <w:spacing w:line="240" w:lineRule="auto"/>
              <w:jc w:val="both"/>
              <w:rPr>
                <w:rFonts w:ascii="Times New Roman" w:hAnsi="Times New Roman"/>
                <w:b/>
                <w:spacing w:val="-2"/>
              </w:rPr>
            </w:pPr>
            <w:r w:rsidRPr="009F00FC">
              <w:rPr>
                <w:rFonts w:ascii="Times New Roman" w:hAnsi="Times New Roman"/>
              </w:rPr>
              <w:fldChar w:fldCharType="begin">
                <w:ffData>
                  <w:name w:val="Wybór1"/>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w:t>
            </w:r>
            <w:r w:rsidRPr="009F00FC">
              <w:rPr>
                <w:rFonts w:ascii="Times New Roman" w:hAnsi="Times New Roman"/>
                <w:spacing w:val="-2"/>
              </w:rPr>
              <w:t>inne:</w:t>
            </w:r>
            <w:r w:rsidRPr="009F00FC">
              <w:rPr>
                <w:rFonts w:ascii="Times New Roman" w:hAnsi="Times New Roman"/>
              </w:rPr>
              <w:t xml:space="preserve"> </w:t>
            </w:r>
            <w:r w:rsidRPr="009F00FC">
              <w:rPr>
                <w:rFonts w:ascii="Times New Roman" w:hAnsi="Times New Roman"/>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F00FC">
              <w:rPr>
                <w:rFonts w:ascii="Times New Roman" w:hAnsi="Times New Roman"/>
              </w:rPr>
              <w:instrText xml:space="preserve"> FORMTEXT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noProof/>
              </w:rPr>
              <w:t> </w:t>
            </w:r>
            <w:r w:rsidRPr="009F00FC">
              <w:rPr>
                <w:rFonts w:ascii="Times New Roman" w:hAnsi="Times New Roman"/>
                <w:noProof/>
              </w:rPr>
              <w:t> </w:t>
            </w:r>
            <w:r w:rsidRPr="009F00FC">
              <w:rPr>
                <w:rFonts w:ascii="Times New Roman" w:hAnsi="Times New Roman"/>
                <w:noProof/>
              </w:rPr>
              <w:t> </w:t>
            </w:r>
            <w:r w:rsidRPr="009F00FC">
              <w:rPr>
                <w:rFonts w:ascii="Times New Roman" w:hAnsi="Times New Roman"/>
                <w:noProof/>
              </w:rPr>
              <w:t> </w:t>
            </w:r>
            <w:r w:rsidRPr="009F00FC">
              <w:rPr>
                <w:rFonts w:ascii="Times New Roman" w:hAnsi="Times New Roman"/>
                <w:noProof/>
              </w:rPr>
              <w:t> </w:t>
            </w:r>
            <w:r w:rsidRPr="009F00FC">
              <w:rPr>
                <w:rFonts w:ascii="Times New Roman" w:hAnsi="Times New Roman"/>
              </w:rPr>
              <w:fldChar w:fldCharType="end"/>
            </w:r>
          </w:p>
        </w:tc>
        <w:tc>
          <w:tcPr>
            <w:tcW w:w="5826" w:type="dxa"/>
            <w:gridSpan w:val="7"/>
            <w:shd w:val="clear" w:color="auto" w:fill="FFFFFF"/>
          </w:tcPr>
          <w:p w14:paraId="08E93043" w14:textId="77777777" w:rsidR="00C14EA7" w:rsidRPr="009F00FC" w:rsidRDefault="00C14EA7" w:rsidP="00C14EA7">
            <w:pPr>
              <w:spacing w:line="240" w:lineRule="auto"/>
              <w:jc w:val="both"/>
              <w:rPr>
                <w:rFonts w:ascii="Times New Roman" w:hAnsi="Times New Roman"/>
                <w:spacing w:val="-2"/>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w:t>
            </w:r>
            <w:r w:rsidRPr="009F00FC">
              <w:rPr>
                <w:rFonts w:ascii="Times New Roman" w:hAnsi="Times New Roman"/>
                <w:spacing w:val="-2"/>
              </w:rPr>
              <w:t>zwiększenie liczby dokumentów</w:t>
            </w:r>
          </w:p>
          <w:p w14:paraId="74ED23C6" w14:textId="5464AAB5" w:rsidR="00C14EA7" w:rsidRPr="009F00FC" w:rsidRDefault="00102E41" w:rsidP="00C14EA7">
            <w:pPr>
              <w:spacing w:line="240" w:lineRule="auto"/>
              <w:jc w:val="both"/>
              <w:rPr>
                <w:rFonts w:ascii="Times New Roman" w:hAnsi="Times New Roman"/>
                <w:spacing w:val="-2"/>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00C14EA7" w:rsidRPr="009F00FC">
              <w:rPr>
                <w:rFonts w:ascii="Times New Roman" w:hAnsi="Times New Roman"/>
              </w:rPr>
              <w:t xml:space="preserve"> </w:t>
            </w:r>
            <w:r w:rsidR="00C14EA7" w:rsidRPr="009F00FC">
              <w:rPr>
                <w:rFonts w:ascii="Times New Roman" w:hAnsi="Times New Roman"/>
                <w:spacing w:val="-2"/>
              </w:rPr>
              <w:t>zwiększenie liczby procedur</w:t>
            </w:r>
          </w:p>
          <w:p w14:paraId="48824DED" w14:textId="31E08B0B" w:rsidR="00C14EA7" w:rsidRPr="009F00FC" w:rsidRDefault="00102E41" w:rsidP="00C14EA7">
            <w:pPr>
              <w:spacing w:line="240" w:lineRule="auto"/>
              <w:jc w:val="both"/>
              <w:rPr>
                <w:rFonts w:ascii="Times New Roman" w:hAnsi="Times New Roman"/>
                <w:spacing w:val="-2"/>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00C14EA7" w:rsidRPr="009F00FC">
              <w:rPr>
                <w:rFonts w:ascii="Times New Roman" w:hAnsi="Times New Roman"/>
              </w:rPr>
              <w:t xml:space="preserve"> </w:t>
            </w:r>
            <w:r w:rsidR="00C14EA7" w:rsidRPr="009F00FC">
              <w:rPr>
                <w:rFonts w:ascii="Times New Roman" w:hAnsi="Times New Roman"/>
                <w:spacing w:val="-2"/>
              </w:rPr>
              <w:t>wydłużenie czasu na załatwienie sprawy</w:t>
            </w:r>
          </w:p>
          <w:p w14:paraId="49F4659F"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w:t>
            </w:r>
            <w:r w:rsidRPr="009F00FC">
              <w:rPr>
                <w:rFonts w:ascii="Times New Roman" w:hAnsi="Times New Roman"/>
                <w:spacing w:val="-2"/>
              </w:rPr>
              <w:t>inne:</w:t>
            </w:r>
            <w:r w:rsidRPr="009F00FC">
              <w:rPr>
                <w:rFonts w:ascii="Times New Roman" w:hAnsi="Times New Roman"/>
              </w:rPr>
              <w:t xml:space="preserve"> </w:t>
            </w:r>
          </w:p>
        </w:tc>
      </w:tr>
      <w:tr w:rsidR="009F00FC" w:rsidRPr="009F00FC" w14:paraId="11E5A3F6" w14:textId="77777777" w:rsidTr="00C14EA7">
        <w:trPr>
          <w:trHeight w:val="870"/>
          <w:jc w:val="center"/>
        </w:trPr>
        <w:tc>
          <w:tcPr>
            <w:tcW w:w="5111" w:type="dxa"/>
            <w:gridSpan w:val="6"/>
            <w:shd w:val="clear" w:color="auto" w:fill="FFFFFF"/>
          </w:tcPr>
          <w:p w14:paraId="45D511E2"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spacing w:val="-2"/>
              </w:rPr>
              <w:t xml:space="preserve">Wprowadzane obciążenia są przystosowane do ich elektronizacji. </w:t>
            </w:r>
          </w:p>
        </w:tc>
        <w:tc>
          <w:tcPr>
            <w:tcW w:w="5826" w:type="dxa"/>
            <w:gridSpan w:val="7"/>
            <w:shd w:val="clear" w:color="auto" w:fill="FFFFFF"/>
          </w:tcPr>
          <w:p w14:paraId="1A1BD608" w14:textId="5C9A701F" w:rsidR="00C14EA7" w:rsidRPr="009F00FC" w:rsidRDefault="00DE162C"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00C14EA7" w:rsidRPr="009F00FC">
              <w:rPr>
                <w:rFonts w:ascii="Times New Roman" w:hAnsi="Times New Roman"/>
              </w:rPr>
              <w:t xml:space="preserve"> tak</w:t>
            </w:r>
          </w:p>
          <w:p w14:paraId="38EEBCF6"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Wybór1"/>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nie</w:t>
            </w:r>
          </w:p>
          <w:p w14:paraId="39D3EADB" w14:textId="2BCC4641" w:rsidR="00C14EA7" w:rsidRPr="009F00FC" w:rsidRDefault="00DE162C"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00C14EA7" w:rsidRPr="009F00FC">
              <w:rPr>
                <w:rFonts w:ascii="Times New Roman" w:hAnsi="Times New Roman"/>
              </w:rPr>
              <w:t xml:space="preserve"> nie dotyczy</w:t>
            </w:r>
          </w:p>
        </w:tc>
      </w:tr>
      <w:tr w:rsidR="009F00FC" w:rsidRPr="009F00FC" w14:paraId="51EB43BE" w14:textId="77777777" w:rsidTr="00C14EA7">
        <w:trPr>
          <w:trHeight w:val="279"/>
          <w:jc w:val="center"/>
        </w:trPr>
        <w:tc>
          <w:tcPr>
            <w:tcW w:w="10937" w:type="dxa"/>
            <w:gridSpan w:val="13"/>
            <w:shd w:val="clear" w:color="auto" w:fill="FFFFFF"/>
          </w:tcPr>
          <w:p w14:paraId="31CFC406" w14:textId="77777777" w:rsidR="00C14EA7" w:rsidRPr="009F00FC" w:rsidRDefault="00C14EA7" w:rsidP="007427BA">
            <w:pPr>
              <w:spacing w:before="120" w:after="120" w:line="240" w:lineRule="auto"/>
              <w:jc w:val="both"/>
              <w:rPr>
                <w:rFonts w:ascii="Times New Roman" w:hAnsi="Times New Roman"/>
              </w:rPr>
            </w:pPr>
            <w:r w:rsidRPr="009F00FC">
              <w:rPr>
                <w:rFonts w:ascii="Times New Roman" w:hAnsi="Times New Roman"/>
              </w:rPr>
              <w:t>Komentarz:</w:t>
            </w:r>
          </w:p>
          <w:p w14:paraId="785BFC95" w14:textId="4FE5BE08" w:rsidR="00A11D5F" w:rsidRPr="009F00FC" w:rsidRDefault="00C14EA7" w:rsidP="007427BA">
            <w:pPr>
              <w:spacing w:before="120" w:after="120" w:line="240" w:lineRule="auto"/>
              <w:jc w:val="both"/>
              <w:rPr>
                <w:rFonts w:ascii="Times New Roman" w:hAnsi="Times New Roman"/>
                <w:spacing w:val="-2"/>
              </w:rPr>
            </w:pPr>
            <w:r w:rsidRPr="009F00FC">
              <w:rPr>
                <w:rFonts w:ascii="Times New Roman" w:hAnsi="Times New Roman"/>
                <w:spacing w:val="-2"/>
                <w:u w:val="single"/>
              </w:rPr>
              <w:t>Zmniejszenie liczby procedur</w:t>
            </w:r>
            <w:r w:rsidRPr="009F00FC">
              <w:rPr>
                <w:rFonts w:ascii="Times New Roman" w:hAnsi="Times New Roman"/>
                <w:spacing w:val="-2"/>
              </w:rPr>
              <w:t xml:space="preserve"> – </w:t>
            </w:r>
            <w:r w:rsidR="00DF0EDD">
              <w:rPr>
                <w:rFonts w:ascii="Times New Roman" w:hAnsi="Times New Roman"/>
                <w:spacing w:val="-2"/>
              </w:rPr>
              <w:t xml:space="preserve"> </w:t>
            </w:r>
            <w:r w:rsidR="00A86A62">
              <w:rPr>
                <w:rFonts w:ascii="Times New Roman" w:hAnsi="Times New Roman"/>
                <w:spacing w:val="-2"/>
              </w:rPr>
              <w:t>p</w:t>
            </w:r>
            <w:r w:rsidR="00DF0EDD">
              <w:rPr>
                <w:rFonts w:ascii="Times New Roman" w:hAnsi="Times New Roman"/>
                <w:spacing w:val="-2"/>
              </w:rPr>
              <w:t xml:space="preserve">ublikacja całości lub części </w:t>
            </w:r>
            <w:r w:rsidR="001627B7">
              <w:rPr>
                <w:rFonts w:ascii="Times New Roman" w:hAnsi="Times New Roman"/>
                <w:spacing w:val="-2"/>
              </w:rPr>
              <w:t>k</w:t>
            </w:r>
            <w:r w:rsidR="00DF0EDD">
              <w:rPr>
                <w:rFonts w:ascii="Times New Roman" w:hAnsi="Times New Roman"/>
                <w:spacing w:val="-2"/>
              </w:rPr>
              <w:t>onkluzji BAT</w:t>
            </w:r>
            <w:r w:rsidR="00226F3D">
              <w:rPr>
                <w:rFonts w:ascii="Times New Roman" w:hAnsi="Times New Roman"/>
                <w:spacing w:val="-2"/>
              </w:rPr>
              <w:t xml:space="preserve"> w formie rozporządzenia znacząco uprości i przyspieszy proces wydawania/aktualizacji pozwoleń zintegrowanych niwelując także niektóre z nowych</w:t>
            </w:r>
            <w:r w:rsidR="00DF0EDD">
              <w:rPr>
                <w:rFonts w:ascii="Times New Roman" w:hAnsi="Times New Roman"/>
                <w:spacing w:val="-2"/>
              </w:rPr>
              <w:t xml:space="preserve"> </w:t>
            </w:r>
            <w:r w:rsidR="00226F3D">
              <w:rPr>
                <w:rFonts w:ascii="Times New Roman" w:hAnsi="Times New Roman"/>
                <w:spacing w:val="-2"/>
              </w:rPr>
              <w:t xml:space="preserve">obciążeń wynikających ze znowelizowanej dyrektywy. </w:t>
            </w:r>
          </w:p>
          <w:p w14:paraId="3CF9B13E" w14:textId="333BF56D" w:rsidR="0069778D" w:rsidRDefault="0069778D" w:rsidP="007427BA">
            <w:pPr>
              <w:spacing w:before="120" w:after="120" w:line="240" w:lineRule="auto"/>
              <w:jc w:val="both"/>
              <w:rPr>
                <w:rFonts w:ascii="Times New Roman" w:hAnsi="Times New Roman"/>
                <w:u w:val="single"/>
              </w:rPr>
            </w:pPr>
            <w:r w:rsidRPr="0069778D">
              <w:rPr>
                <w:rFonts w:ascii="Times New Roman" w:hAnsi="Times New Roman"/>
                <w:spacing w:val="-2"/>
                <w:u w:val="single"/>
              </w:rPr>
              <w:t>Skrócenie czasu na załatwienie sprawy</w:t>
            </w:r>
            <w:r>
              <w:rPr>
                <w:rFonts w:ascii="Times New Roman" w:hAnsi="Times New Roman"/>
                <w:spacing w:val="-2"/>
              </w:rPr>
              <w:t xml:space="preserve"> – wynikiem publikacji rozporządzenia określającego warunki zawarte w konkluzjach BAT będzie skrócenie czasu uzyskania pozwolenia zintegrowanego.</w:t>
            </w:r>
          </w:p>
          <w:p w14:paraId="40A2E80C" w14:textId="77777777" w:rsidR="0069778D" w:rsidRDefault="0069778D" w:rsidP="007427BA">
            <w:pPr>
              <w:spacing w:before="120" w:after="120" w:line="240" w:lineRule="auto"/>
              <w:jc w:val="both"/>
              <w:rPr>
                <w:rFonts w:ascii="Times New Roman" w:hAnsi="Times New Roman"/>
              </w:rPr>
            </w:pPr>
            <w:r w:rsidRPr="009F00FC">
              <w:rPr>
                <w:rFonts w:ascii="Times New Roman" w:hAnsi="Times New Roman"/>
                <w:u w:val="single"/>
              </w:rPr>
              <w:t>Zwiększenie liczby dokumentów</w:t>
            </w:r>
            <w:r w:rsidRPr="009F00FC">
              <w:rPr>
                <w:rFonts w:ascii="Times New Roman" w:hAnsi="Times New Roman"/>
              </w:rPr>
              <w:t xml:space="preserve"> – </w:t>
            </w:r>
            <w:r>
              <w:rPr>
                <w:rFonts w:ascii="Times New Roman" w:hAnsi="Times New Roman"/>
              </w:rPr>
              <w:t>uzupełnienie wniosku o wydanie lub zmianę pozwolenia zintegrowanego o informację jakie (najniższe) wielkości emisji, z przedziału BAT AELs, są możliwe do osiągnięcia w normalnych warunkach pracy</w:t>
            </w:r>
            <w:r w:rsidRPr="009F00FC">
              <w:rPr>
                <w:rFonts w:ascii="Times New Roman" w:hAnsi="Times New Roman"/>
              </w:rPr>
              <w:t>, opracowanie dokumentów dotyczących systemu zarządzania środowiskowego, a także planu transformacji</w:t>
            </w:r>
            <w:r>
              <w:rPr>
                <w:rFonts w:ascii="Times New Roman" w:hAnsi="Times New Roman"/>
              </w:rPr>
              <w:t>.</w:t>
            </w:r>
          </w:p>
          <w:p w14:paraId="4971BF5F" w14:textId="29A86A10" w:rsidR="0069778D" w:rsidRPr="009F00FC" w:rsidRDefault="0069778D" w:rsidP="007427BA">
            <w:pPr>
              <w:spacing w:before="120" w:after="120" w:line="240" w:lineRule="auto"/>
              <w:jc w:val="both"/>
              <w:rPr>
                <w:rFonts w:ascii="Times New Roman" w:hAnsi="Times New Roman"/>
              </w:rPr>
            </w:pPr>
            <w:r w:rsidRPr="0069778D">
              <w:rPr>
                <w:rFonts w:ascii="Times New Roman" w:hAnsi="Times New Roman"/>
                <w:u w:val="single"/>
              </w:rPr>
              <w:t xml:space="preserve">Zwiększenie liczby procedur </w:t>
            </w:r>
            <w:r>
              <w:rPr>
                <w:rFonts w:ascii="Times New Roman" w:hAnsi="Times New Roman"/>
              </w:rPr>
              <w:t>– przeprowadzenie okresowej kontroli przez certyfikowanego weryfikatora.</w:t>
            </w:r>
          </w:p>
          <w:p w14:paraId="39537639" w14:textId="00772120" w:rsidR="00DE162C" w:rsidRPr="009F00FC" w:rsidRDefault="0069778D" w:rsidP="007427BA">
            <w:pPr>
              <w:spacing w:before="120" w:after="120" w:line="240" w:lineRule="auto"/>
              <w:jc w:val="both"/>
              <w:rPr>
                <w:rFonts w:ascii="Times New Roman" w:hAnsi="Times New Roman"/>
                <w:spacing w:val="-2"/>
              </w:rPr>
            </w:pPr>
            <w:r>
              <w:rPr>
                <w:rFonts w:ascii="Times New Roman" w:hAnsi="Times New Roman"/>
                <w:spacing w:val="-2"/>
              </w:rPr>
              <w:t xml:space="preserve">Wydłużenie czasu na załatwienie sprawy – konieczność przygotowania dokumentacji w zakresie systemu zarządzania środowiskowego, planu transformacji i </w:t>
            </w:r>
            <w:r w:rsidR="00A86A62">
              <w:rPr>
                <w:rFonts w:ascii="Times New Roman" w:hAnsi="Times New Roman"/>
                <w:spacing w:val="-2"/>
              </w:rPr>
              <w:t>zapewnienie przeprowadzenia audytu systemu zarządzania środowiskowego przyczynia się do wydłużenia czasu na uzyskanie lub zmianę pozwolenia zintegrowanego.</w:t>
            </w:r>
          </w:p>
        </w:tc>
      </w:tr>
      <w:tr w:rsidR="009F00FC" w:rsidRPr="009F00FC" w14:paraId="1E87C70C" w14:textId="77777777" w:rsidTr="00C14EA7">
        <w:trPr>
          <w:trHeight w:val="142"/>
          <w:jc w:val="center"/>
        </w:trPr>
        <w:tc>
          <w:tcPr>
            <w:tcW w:w="10937" w:type="dxa"/>
            <w:gridSpan w:val="13"/>
            <w:shd w:val="clear" w:color="auto" w:fill="99CCFF"/>
          </w:tcPr>
          <w:p w14:paraId="4992C476" w14:textId="77777777" w:rsidR="00C14EA7" w:rsidRPr="009F00FC" w:rsidRDefault="00C14EA7">
            <w:pPr>
              <w:numPr>
                <w:ilvl w:val="0"/>
                <w:numId w:val="4"/>
              </w:numPr>
              <w:spacing w:line="240" w:lineRule="auto"/>
              <w:jc w:val="both"/>
              <w:rPr>
                <w:rFonts w:ascii="Times New Roman" w:hAnsi="Times New Roman"/>
                <w:b/>
              </w:rPr>
            </w:pPr>
            <w:r w:rsidRPr="009F00FC">
              <w:rPr>
                <w:rFonts w:ascii="Times New Roman" w:hAnsi="Times New Roman"/>
                <w:b/>
              </w:rPr>
              <w:t xml:space="preserve">Wpływ na rynek pracy </w:t>
            </w:r>
          </w:p>
        </w:tc>
      </w:tr>
      <w:tr w:rsidR="009F00FC" w:rsidRPr="009F00FC" w14:paraId="46938F1E" w14:textId="77777777" w:rsidTr="00C14EA7">
        <w:trPr>
          <w:trHeight w:val="142"/>
          <w:jc w:val="center"/>
        </w:trPr>
        <w:tc>
          <w:tcPr>
            <w:tcW w:w="10937" w:type="dxa"/>
            <w:gridSpan w:val="13"/>
          </w:tcPr>
          <w:p w14:paraId="65F15184" w14:textId="77777777" w:rsidR="0044764F" w:rsidRPr="009F00FC" w:rsidRDefault="0044764F" w:rsidP="007427BA">
            <w:pPr>
              <w:spacing w:before="120" w:after="120" w:line="240" w:lineRule="auto"/>
              <w:jc w:val="both"/>
              <w:rPr>
                <w:rFonts w:ascii="Times New Roman" w:hAnsi="Times New Roman"/>
              </w:rPr>
            </w:pPr>
            <w:r w:rsidRPr="009F00FC">
              <w:rPr>
                <w:rFonts w:ascii="Times New Roman" w:hAnsi="Times New Roman"/>
              </w:rPr>
              <w:t>Wejście w życie projektowanej ustawy nie wywoła niepożądanych skutków dla rynku pracy.</w:t>
            </w:r>
          </w:p>
          <w:p w14:paraId="62E6952E" w14:textId="75D11AA1" w:rsidR="0044764F" w:rsidRPr="009F00FC" w:rsidRDefault="0044764F" w:rsidP="007427BA">
            <w:pPr>
              <w:spacing w:before="120" w:after="120" w:line="240" w:lineRule="auto"/>
              <w:jc w:val="both"/>
              <w:rPr>
                <w:rFonts w:ascii="Times New Roman" w:hAnsi="Times New Roman"/>
              </w:rPr>
            </w:pPr>
            <w:r w:rsidRPr="009F00FC">
              <w:rPr>
                <w:rFonts w:ascii="Times New Roman" w:hAnsi="Times New Roman"/>
              </w:rPr>
              <w:t>Wydatki ponoszone przez przedsiębiorców celem dostosowania instalacji do nowych regulacji prawnych nie powinny mieć przełożenia na zmniejszenie skali zatrudnienia.</w:t>
            </w:r>
          </w:p>
          <w:p w14:paraId="59EBEB94" w14:textId="7876068F" w:rsidR="00C14EA7" w:rsidRPr="009F00FC" w:rsidRDefault="00C14EA7" w:rsidP="007427BA">
            <w:pPr>
              <w:spacing w:before="120" w:after="120" w:line="240" w:lineRule="auto"/>
              <w:jc w:val="both"/>
              <w:rPr>
                <w:rFonts w:ascii="Times New Roman" w:hAnsi="Times New Roman"/>
              </w:rPr>
            </w:pPr>
            <w:r w:rsidRPr="009F00FC">
              <w:rPr>
                <w:rFonts w:ascii="Times New Roman" w:hAnsi="Times New Roman"/>
              </w:rPr>
              <w:t xml:space="preserve">Projektowane zmiany mogą wpłynąć pozytywnie na zatrudnienie w firmach zajmujących się opracowywaniem </w:t>
            </w:r>
            <w:r w:rsidR="00795D6A" w:rsidRPr="009F00FC">
              <w:rPr>
                <w:rFonts w:ascii="Times New Roman" w:hAnsi="Times New Roman"/>
              </w:rPr>
              <w:t>pozwoleń zintegrowanych ze względu na zwiększoną liczbę instalacji objętych obowiązkiem posiadania pozwolenia zintegrowanego.</w:t>
            </w:r>
          </w:p>
          <w:p w14:paraId="0E909829" w14:textId="77777777" w:rsidR="00C14EA7" w:rsidRPr="009F00FC" w:rsidRDefault="00C14EA7" w:rsidP="007427BA">
            <w:pPr>
              <w:spacing w:before="120" w:after="120" w:line="240" w:lineRule="auto"/>
              <w:jc w:val="both"/>
              <w:rPr>
                <w:rFonts w:ascii="Times New Roman" w:hAnsi="Times New Roman"/>
              </w:rPr>
            </w:pPr>
            <w:r w:rsidRPr="009F00FC">
              <w:rPr>
                <w:rFonts w:ascii="Times New Roman" w:hAnsi="Times New Roman"/>
              </w:rPr>
              <w:t>Zaproponowane zmiany wpłyną korzystnie na sektor przedsiębiorstw – umożliwią ich dalsz</w:t>
            </w:r>
            <w:r w:rsidR="00795D6A" w:rsidRPr="009F00FC">
              <w:rPr>
                <w:rFonts w:ascii="Times New Roman" w:hAnsi="Times New Roman"/>
              </w:rPr>
              <w:t>y rozwój, innowacyjność i konkurencyjność.</w:t>
            </w:r>
          </w:p>
          <w:p w14:paraId="4AB96CE6" w14:textId="4BCCFDBA" w:rsidR="0044764F" w:rsidRPr="009F00FC" w:rsidRDefault="0044764F" w:rsidP="007427BA">
            <w:pPr>
              <w:spacing w:before="120" w:after="120" w:line="240" w:lineRule="auto"/>
              <w:jc w:val="both"/>
              <w:rPr>
                <w:rFonts w:ascii="Times New Roman" w:hAnsi="Times New Roman"/>
              </w:rPr>
            </w:pPr>
            <w:r w:rsidRPr="009F00FC">
              <w:rPr>
                <w:rFonts w:ascii="Times New Roman" w:hAnsi="Times New Roman"/>
              </w:rPr>
              <w:t xml:space="preserve">Należy również zwrócić uwagę, że niniejsza regulacja może przyczynić się do powstania nowych miejsc pracy w wyniku zwiększonego popytu na inwestycje, usługi doradczo-konsultingowe i badawcze w dziedzinie ochrony środowiska. </w:t>
            </w:r>
          </w:p>
        </w:tc>
      </w:tr>
      <w:tr w:rsidR="009F00FC" w:rsidRPr="009F00FC" w14:paraId="0EC0A5AA" w14:textId="77777777" w:rsidTr="00C14EA7">
        <w:trPr>
          <w:trHeight w:val="142"/>
          <w:jc w:val="center"/>
        </w:trPr>
        <w:tc>
          <w:tcPr>
            <w:tcW w:w="10937" w:type="dxa"/>
            <w:gridSpan w:val="13"/>
            <w:shd w:val="clear" w:color="auto" w:fill="99CCFF"/>
          </w:tcPr>
          <w:p w14:paraId="25E64A64" w14:textId="77777777" w:rsidR="00C14EA7" w:rsidRPr="009F00FC" w:rsidRDefault="00C14EA7">
            <w:pPr>
              <w:numPr>
                <w:ilvl w:val="0"/>
                <w:numId w:val="4"/>
              </w:numPr>
              <w:spacing w:line="240" w:lineRule="auto"/>
              <w:jc w:val="both"/>
              <w:rPr>
                <w:rFonts w:ascii="Times New Roman" w:hAnsi="Times New Roman"/>
                <w:b/>
              </w:rPr>
            </w:pPr>
            <w:r w:rsidRPr="009F00FC">
              <w:rPr>
                <w:rFonts w:ascii="Times New Roman" w:hAnsi="Times New Roman"/>
                <w:b/>
              </w:rPr>
              <w:t>Wpływ na pozostałe obszary</w:t>
            </w:r>
          </w:p>
        </w:tc>
      </w:tr>
      <w:tr w:rsidR="009F00FC" w:rsidRPr="009F00FC" w14:paraId="56E4D072" w14:textId="77777777" w:rsidTr="00C14EA7">
        <w:trPr>
          <w:trHeight w:val="811"/>
          <w:jc w:val="center"/>
        </w:trPr>
        <w:tc>
          <w:tcPr>
            <w:tcW w:w="3547" w:type="dxa"/>
            <w:gridSpan w:val="3"/>
            <w:shd w:val="clear" w:color="auto" w:fill="FFFFFF"/>
          </w:tcPr>
          <w:p w14:paraId="0FA01B3D" w14:textId="77777777" w:rsidR="00C14EA7" w:rsidRPr="009F00FC" w:rsidRDefault="00C14EA7" w:rsidP="00C14EA7">
            <w:pPr>
              <w:spacing w:line="240" w:lineRule="auto"/>
              <w:jc w:val="both"/>
              <w:rPr>
                <w:rFonts w:ascii="Times New Roman" w:hAnsi="Times New Roman"/>
                <w:spacing w:val="-2"/>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w:t>
            </w:r>
            <w:r w:rsidRPr="009F00FC">
              <w:rPr>
                <w:rFonts w:ascii="Times New Roman" w:hAnsi="Times New Roman"/>
                <w:spacing w:val="-2"/>
              </w:rPr>
              <w:t>środowisko naturalne</w:t>
            </w:r>
          </w:p>
          <w:p w14:paraId="0C41BAA5" w14:textId="2645E776" w:rsidR="00C14EA7" w:rsidRPr="009F00FC" w:rsidRDefault="0044764F"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00C14EA7" w:rsidRPr="009F00FC">
              <w:rPr>
                <w:rFonts w:ascii="Times New Roman" w:hAnsi="Times New Roman"/>
              </w:rPr>
              <w:t xml:space="preserve"> sytuacja i rozwój regionalny</w:t>
            </w:r>
          </w:p>
          <w:p w14:paraId="50A20A5B" w14:textId="77777777" w:rsidR="00C14EA7" w:rsidRPr="009F00FC" w:rsidRDefault="00C14EA7" w:rsidP="00C14EA7">
            <w:pPr>
              <w:spacing w:line="240" w:lineRule="auto"/>
              <w:jc w:val="both"/>
              <w:rPr>
                <w:rFonts w:ascii="Times New Roman" w:hAnsi="Times New Roman"/>
                <w:spacing w:val="-2"/>
              </w:rPr>
            </w:pPr>
            <w:r w:rsidRPr="009F00FC">
              <w:rPr>
                <w:rFonts w:ascii="Times New Roman" w:hAnsi="Times New Roman"/>
              </w:rPr>
              <w:fldChar w:fldCharType="begin">
                <w:ffData>
                  <w:name w:val="Wybór1"/>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sz w:val="20"/>
                <w:szCs w:val="20"/>
              </w:rPr>
              <w:t xml:space="preserve"> </w:t>
            </w:r>
            <w:r w:rsidRPr="009F00FC">
              <w:rPr>
                <w:rFonts w:ascii="Times New Roman" w:hAnsi="Times New Roman"/>
                <w:spacing w:val="-2"/>
              </w:rPr>
              <w:t>sądy powszechne, administracyjne lub wojskowe</w:t>
            </w:r>
          </w:p>
        </w:tc>
        <w:tc>
          <w:tcPr>
            <w:tcW w:w="3687" w:type="dxa"/>
            <w:gridSpan w:val="6"/>
            <w:shd w:val="clear" w:color="auto" w:fill="FFFFFF"/>
          </w:tcPr>
          <w:p w14:paraId="73742AA9" w14:textId="77777777" w:rsidR="00C14EA7" w:rsidRPr="009F00FC" w:rsidRDefault="00C14EA7" w:rsidP="00C14EA7">
            <w:pPr>
              <w:spacing w:line="240" w:lineRule="auto"/>
              <w:jc w:val="both"/>
              <w:rPr>
                <w:rFonts w:ascii="Times New Roman" w:hAnsi="Times New Roman"/>
                <w:spacing w:val="-2"/>
              </w:rPr>
            </w:pPr>
            <w:r w:rsidRPr="009F00FC">
              <w:rPr>
                <w:rFonts w:ascii="Times New Roman" w:hAnsi="Times New Roman"/>
              </w:rPr>
              <w:fldChar w:fldCharType="begin">
                <w:ffData>
                  <w:name w:val="Wybór1"/>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w:t>
            </w:r>
            <w:r w:rsidRPr="009F00FC">
              <w:rPr>
                <w:rFonts w:ascii="Times New Roman" w:hAnsi="Times New Roman"/>
                <w:spacing w:val="-2"/>
              </w:rPr>
              <w:t>demografia</w:t>
            </w:r>
          </w:p>
          <w:p w14:paraId="4A957AEC"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mienie państwowe</w:t>
            </w:r>
          </w:p>
          <w:p w14:paraId="63998E5E"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Wybór1"/>
                  <w:enabled/>
                  <w:calcOnExit w:val="0"/>
                  <w:checkBox>
                    <w:sizeAuto/>
                    <w:default w:val="0"/>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sz w:val="20"/>
                <w:szCs w:val="20"/>
              </w:rPr>
              <w:t xml:space="preserve"> </w:t>
            </w:r>
            <w:r w:rsidRPr="009F00FC">
              <w:rPr>
                <w:rFonts w:ascii="Times New Roman" w:hAnsi="Times New Roman"/>
                <w:spacing w:val="-2"/>
              </w:rPr>
              <w:t xml:space="preserve">inne: </w:t>
            </w:r>
            <w:r w:rsidRPr="009F00FC">
              <w:rPr>
                <w:rFonts w:ascii="Times New Roman" w:hAnsi="Times New Roman"/>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9F00FC">
              <w:rPr>
                <w:rFonts w:ascii="Times New Roman" w:hAnsi="Times New Roman"/>
              </w:rPr>
              <w:instrText xml:space="preserve"> FORMTEXT </w:instrText>
            </w:r>
            <w:r w:rsidRPr="009F00FC">
              <w:rPr>
                <w:rFonts w:ascii="Times New Roman" w:hAnsi="Times New Roman"/>
              </w:rPr>
            </w:r>
            <w:r w:rsidRPr="009F00FC">
              <w:rPr>
                <w:rFonts w:ascii="Times New Roman" w:hAnsi="Times New Roman"/>
              </w:rPr>
              <w:fldChar w:fldCharType="separate"/>
            </w:r>
            <w:r w:rsidRPr="009F00FC">
              <w:rPr>
                <w:rFonts w:ascii="Times New Roman"/>
                <w:noProof/>
              </w:rPr>
              <w:t> </w:t>
            </w:r>
            <w:r w:rsidRPr="009F00FC">
              <w:rPr>
                <w:rFonts w:ascii="Times New Roman"/>
                <w:noProof/>
              </w:rPr>
              <w:t> </w:t>
            </w:r>
            <w:r w:rsidRPr="009F00FC">
              <w:rPr>
                <w:rFonts w:ascii="Times New Roman"/>
                <w:noProof/>
              </w:rPr>
              <w:t> </w:t>
            </w:r>
            <w:r w:rsidRPr="009F00FC">
              <w:rPr>
                <w:rFonts w:ascii="Times New Roman"/>
                <w:noProof/>
              </w:rPr>
              <w:t> </w:t>
            </w:r>
            <w:r w:rsidRPr="009F00FC">
              <w:rPr>
                <w:rFonts w:ascii="Times New Roman"/>
                <w:noProof/>
              </w:rPr>
              <w:t> </w:t>
            </w:r>
            <w:r w:rsidRPr="009F00FC">
              <w:rPr>
                <w:rFonts w:ascii="Times New Roman" w:hAnsi="Times New Roman"/>
              </w:rPr>
              <w:fldChar w:fldCharType="end"/>
            </w:r>
          </w:p>
        </w:tc>
        <w:tc>
          <w:tcPr>
            <w:tcW w:w="3703" w:type="dxa"/>
            <w:gridSpan w:val="4"/>
            <w:shd w:val="clear" w:color="auto" w:fill="FFFFFF"/>
          </w:tcPr>
          <w:p w14:paraId="14F795CD" w14:textId="09A81002" w:rsidR="00C14EA7" w:rsidRPr="009F00FC" w:rsidRDefault="00CC3E4A" w:rsidP="00C14EA7">
            <w:pPr>
              <w:spacing w:line="240" w:lineRule="auto"/>
              <w:jc w:val="both"/>
              <w:rPr>
                <w:rFonts w:ascii="Times New Roman" w:hAnsi="Times New Roman"/>
                <w:spacing w:val="-2"/>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sidR="00C14EA7" w:rsidRPr="009F00FC">
              <w:rPr>
                <w:rFonts w:ascii="Times New Roman" w:hAnsi="Times New Roman"/>
              </w:rPr>
              <w:t xml:space="preserve"> </w:t>
            </w:r>
            <w:r w:rsidR="00C14EA7" w:rsidRPr="009F00FC">
              <w:rPr>
                <w:rFonts w:ascii="Times New Roman" w:hAnsi="Times New Roman"/>
                <w:spacing w:val="-2"/>
              </w:rPr>
              <w:t>informatyzacja</w:t>
            </w:r>
          </w:p>
          <w:p w14:paraId="793A914B"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fldChar w:fldCharType="begin">
                <w:ffData>
                  <w:name w:val=""/>
                  <w:enabled/>
                  <w:calcOnExit w:val="0"/>
                  <w:checkBox>
                    <w:sizeAuto/>
                    <w:default w:val="1"/>
                  </w:checkBox>
                </w:ffData>
              </w:fldChar>
            </w:r>
            <w:r w:rsidRPr="009F00FC">
              <w:rPr>
                <w:rFonts w:ascii="Times New Roman" w:hAnsi="Times New Roman"/>
              </w:rPr>
              <w:instrText xml:space="preserve"> FORMCHECKBOX </w:instrText>
            </w:r>
            <w:r w:rsidRPr="009F00FC">
              <w:rPr>
                <w:rFonts w:ascii="Times New Roman" w:hAnsi="Times New Roman"/>
              </w:rPr>
            </w:r>
            <w:r w:rsidRPr="009F00FC">
              <w:rPr>
                <w:rFonts w:ascii="Times New Roman" w:hAnsi="Times New Roman"/>
              </w:rPr>
              <w:fldChar w:fldCharType="separate"/>
            </w:r>
            <w:r w:rsidRPr="009F00FC">
              <w:rPr>
                <w:rFonts w:ascii="Times New Roman" w:hAnsi="Times New Roman"/>
              </w:rPr>
              <w:fldChar w:fldCharType="end"/>
            </w:r>
            <w:r w:rsidRPr="009F00FC">
              <w:rPr>
                <w:rFonts w:ascii="Times New Roman" w:hAnsi="Times New Roman"/>
              </w:rPr>
              <w:t xml:space="preserve"> </w:t>
            </w:r>
            <w:r w:rsidRPr="009F00FC">
              <w:rPr>
                <w:rFonts w:ascii="Times New Roman" w:hAnsi="Times New Roman"/>
                <w:spacing w:val="-2"/>
              </w:rPr>
              <w:t>zdrowie</w:t>
            </w:r>
          </w:p>
        </w:tc>
      </w:tr>
      <w:tr w:rsidR="009F00FC" w:rsidRPr="009F00FC" w14:paraId="11292CCC" w14:textId="77777777" w:rsidTr="00C14EA7">
        <w:trPr>
          <w:trHeight w:val="712"/>
          <w:jc w:val="center"/>
        </w:trPr>
        <w:tc>
          <w:tcPr>
            <w:tcW w:w="2243" w:type="dxa"/>
            <w:gridSpan w:val="2"/>
            <w:shd w:val="clear" w:color="auto" w:fill="FFFFFF"/>
            <w:vAlign w:val="center"/>
          </w:tcPr>
          <w:p w14:paraId="231D9C54" w14:textId="77777777" w:rsidR="00C14EA7" w:rsidRPr="009F00FC" w:rsidRDefault="00C14EA7" w:rsidP="00C14EA7">
            <w:pPr>
              <w:spacing w:line="240" w:lineRule="auto"/>
              <w:jc w:val="both"/>
              <w:rPr>
                <w:rFonts w:ascii="Times New Roman" w:hAnsi="Times New Roman"/>
              </w:rPr>
            </w:pPr>
            <w:r w:rsidRPr="009F00FC">
              <w:rPr>
                <w:rFonts w:ascii="Times New Roman" w:hAnsi="Times New Roman"/>
              </w:rPr>
              <w:t>Omówienie wpływu</w:t>
            </w:r>
          </w:p>
        </w:tc>
        <w:tc>
          <w:tcPr>
            <w:tcW w:w="8694" w:type="dxa"/>
            <w:gridSpan w:val="11"/>
            <w:shd w:val="clear" w:color="auto" w:fill="FFFFFF"/>
            <w:vAlign w:val="center"/>
          </w:tcPr>
          <w:p w14:paraId="05546166" w14:textId="1E4336A8" w:rsidR="00795D6A" w:rsidRPr="009F00FC" w:rsidRDefault="00C14EA7" w:rsidP="007427BA">
            <w:pPr>
              <w:autoSpaceDE w:val="0"/>
              <w:autoSpaceDN w:val="0"/>
              <w:adjustRightInd w:val="0"/>
              <w:spacing w:before="120" w:after="120" w:line="240" w:lineRule="auto"/>
              <w:jc w:val="both"/>
              <w:rPr>
                <w:rFonts w:ascii="TimesNewRomanPSMT" w:hAnsi="TimesNewRomanPSMT" w:cs="TimesNewRomanPSMT"/>
                <w:lang w:eastAsia="pl-PL"/>
              </w:rPr>
            </w:pPr>
            <w:r w:rsidRPr="009F00FC">
              <w:rPr>
                <w:rFonts w:ascii="Times New Roman" w:hAnsi="Times New Roman"/>
                <w:spacing w:val="-2"/>
              </w:rPr>
              <w:t>Wprowadzenie proponowanych zmian wpłynie pozytywnie na środowisko naturalne oraz zieloną transformację, w tym różnorodność biologiczną oraz klimat</w:t>
            </w:r>
            <w:r w:rsidR="008B6E32" w:rsidRPr="009F00FC">
              <w:rPr>
                <w:rFonts w:ascii="Times New Roman" w:hAnsi="Times New Roman"/>
                <w:spacing w:val="-2"/>
              </w:rPr>
              <w:t>,</w:t>
            </w:r>
            <w:r w:rsidRPr="009F00FC">
              <w:rPr>
                <w:rFonts w:ascii="Times New Roman" w:hAnsi="Times New Roman"/>
                <w:spacing w:val="-2"/>
              </w:rPr>
              <w:t xml:space="preserve"> ze względu na zwiększenie </w:t>
            </w:r>
            <w:r w:rsidR="00795D6A" w:rsidRPr="009F00FC">
              <w:rPr>
                <w:rFonts w:ascii="Times New Roman" w:hAnsi="Times New Roman"/>
                <w:spacing w:val="-2"/>
              </w:rPr>
              <w:t xml:space="preserve">wymagań w zakresie ograniczenia emisji zanieczyszczeń do powietrza, wody i innych komponentów </w:t>
            </w:r>
            <w:r w:rsidR="00795D6A" w:rsidRPr="009F00FC">
              <w:rPr>
                <w:rFonts w:ascii="Times New Roman" w:hAnsi="Times New Roman"/>
                <w:spacing w:val="-2"/>
              </w:rPr>
              <w:lastRenderedPageBreak/>
              <w:t xml:space="preserve">środowiska. </w:t>
            </w:r>
            <w:r w:rsidR="0069778D">
              <w:rPr>
                <w:rFonts w:ascii="Times New Roman" w:hAnsi="Times New Roman"/>
                <w:spacing w:val="-2"/>
              </w:rPr>
              <w:t>Dzięki temu p</w:t>
            </w:r>
            <w:r w:rsidR="00795D6A" w:rsidRPr="009F00FC">
              <w:rPr>
                <w:rFonts w:ascii="Times New Roman" w:hAnsi="Times New Roman"/>
                <w:spacing w:val="-2"/>
              </w:rPr>
              <w:t>roponowane zmiany przyczynią się</w:t>
            </w:r>
            <w:r w:rsidR="0069778D">
              <w:rPr>
                <w:rFonts w:ascii="Times New Roman" w:hAnsi="Times New Roman"/>
                <w:spacing w:val="-2"/>
              </w:rPr>
              <w:t xml:space="preserve"> również</w:t>
            </w:r>
            <w:r w:rsidR="00795D6A" w:rsidRPr="009F00FC">
              <w:rPr>
                <w:rFonts w:ascii="Times New Roman" w:hAnsi="Times New Roman"/>
                <w:spacing w:val="-2"/>
              </w:rPr>
              <w:t xml:space="preserve"> do zwiększenia </w:t>
            </w:r>
            <w:r w:rsidR="00A11D5F" w:rsidRPr="009F00FC">
              <w:rPr>
                <w:rFonts w:ascii="Times New Roman" w:hAnsi="Times New Roman"/>
                <w:spacing w:val="-2"/>
              </w:rPr>
              <w:t xml:space="preserve">poziomu </w:t>
            </w:r>
            <w:r w:rsidR="00795D6A" w:rsidRPr="009F00FC">
              <w:rPr>
                <w:rFonts w:ascii="Times New Roman" w:hAnsi="Times New Roman"/>
                <w:spacing w:val="-2"/>
              </w:rPr>
              <w:t xml:space="preserve">ochrony zdrowia ludzi. </w:t>
            </w:r>
          </w:p>
        </w:tc>
      </w:tr>
      <w:tr w:rsidR="009F00FC" w:rsidRPr="009F00FC" w14:paraId="1861CF3F" w14:textId="77777777" w:rsidTr="00C14EA7">
        <w:trPr>
          <w:trHeight w:val="142"/>
          <w:jc w:val="center"/>
        </w:trPr>
        <w:tc>
          <w:tcPr>
            <w:tcW w:w="10937" w:type="dxa"/>
            <w:gridSpan w:val="13"/>
            <w:shd w:val="clear" w:color="auto" w:fill="99CCFF"/>
          </w:tcPr>
          <w:p w14:paraId="73A83E10" w14:textId="77777777" w:rsidR="00C14EA7" w:rsidRPr="009F00FC" w:rsidRDefault="00C14EA7">
            <w:pPr>
              <w:numPr>
                <w:ilvl w:val="0"/>
                <w:numId w:val="4"/>
              </w:numPr>
              <w:spacing w:line="240" w:lineRule="auto"/>
              <w:ind w:left="318" w:hanging="284"/>
              <w:jc w:val="both"/>
              <w:rPr>
                <w:rFonts w:ascii="Times New Roman" w:hAnsi="Times New Roman"/>
                <w:b/>
              </w:rPr>
            </w:pPr>
            <w:r w:rsidRPr="009F00FC">
              <w:rPr>
                <w:rFonts w:ascii="Times New Roman" w:hAnsi="Times New Roman"/>
                <w:b/>
                <w:spacing w:val="-2"/>
              </w:rPr>
              <w:lastRenderedPageBreak/>
              <w:t>Planowane wykonanie przepisów aktu prawnego</w:t>
            </w:r>
          </w:p>
        </w:tc>
      </w:tr>
      <w:tr w:rsidR="009F00FC" w:rsidRPr="009F00FC" w14:paraId="11D7B3CA" w14:textId="77777777" w:rsidTr="00C14EA7">
        <w:trPr>
          <w:trHeight w:val="142"/>
          <w:jc w:val="center"/>
        </w:trPr>
        <w:tc>
          <w:tcPr>
            <w:tcW w:w="10937" w:type="dxa"/>
            <w:gridSpan w:val="13"/>
            <w:shd w:val="clear" w:color="auto" w:fill="FFFFFF"/>
          </w:tcPr>
          <w:p w14:paraId="62CA9C36" w14:textId="122EB0E0" w:rsidR="00C14EA7" w:rsidRPr="009F00FC" w:rsidRDefault="00C14EA7" w:rsidP="007427BA">
            <w:pPr>
              <w:spacing w:before="120" w:after="120" w:line="240" w:lineRule="auto"/>
              <w:jc w:val="both"/>
              <w:rPr>
                <w:rFonts w:ascii="Times New Roman" w:hAnsi="Times New Roman"/>
                <w:spacing w:val="-2"/>
              </w:rPr>
            </w:pPr>
            <w:bookmarkStart w:id="16" w:name="_Hlk126761760"/>
            <w:r w:rsidRPr="009F00FC">
              <w:rPr>
                <w:rFonts w:ascii="Times New Roman" w:hAnsi="Times New Roman"/>
                <w:spacing w:val="-2"/>
              </w:rPr>
              <w:t>Planowane wejście w życie ustawy –</w:t>
            </w:r>
            <w:r w:rsidR="005937DC" w:rsidRPr="009F00FC">
              <w:rPr>
                <w:rFonts w:ascii="Times New Roman" w:hAnsi="Times New Roman"/>
                <w:spacing w:val="-2"/>
              </w:rPr>
              <w:t xml:space="preserve"> </w:t>
            </w:r>
            <w:r w:rsidR="0005245D" w:rsidRPr="009F00FC">
              <w:rPr>
                <w:rFonts w:ascii="Times New Roman" w:hAnsi="Times New Roman"/>
                <w:spacing w:val="-2"/>
              </w:rPr>
              <w:t>1 lipca 2026 r.</w:t>
            </w:r>
            <w:r w:rsidR="005937DC" w:rsidRPr="009F00FC">
              <w:rPr>
                <w:rFonts w:ascii="Times New Roman" w:hAnsi="Times New Roman"/>
                <w:spacing w:val="-2"/>
              </w:rPr>
              <w:t xml:space="preserve"> Przepisy dyrektywy 2024/1785 określają termin transpozycji przepisów dyrektywy do przepisów krajowych do 1 lipca 2026 r. W dyrektywie są określone </w:t>
            </w:r>
            <w:r w:rsidR="007C3BD2">
              <w:rPr>
                <w:rFonts w:ascii="Times New Roman" w:hAnsi="Times New Roman"/>
                <w:spacing w:val="-2"/>
              </w:rPr>
              <w:t xml:space="preserve">również </w:t>
            </w:r>
            <w:r w:rsidR="005937DC" w:rsidRPr="009F00FC">
              <w:rPr>
                <w:rFonts w:ascii="Times New Roman" w:hAnsi="Times New Roman"/>
                <w:spacing w:val="-2"/>
              </w:rPr>
              <w:t>przepisy przejściowe, które określają późniejsze terminy wejścia w życie niektórych wymagań określonych w dyrektywie.</w:t>
            </w:r>
            <w:bookmarkEnd w:id="16"/>
            <w:r w:rsidRPr="009F00FC">
              <w:rPr>
                <w:rFonts w:ascii="Times New Roman" w:hAnsi="Times New Roman"/>
                <w:spacing w:val="-2"/>
              </w:rPr>
              <w:t xml:space="preserve"> </w:t>
            </w:r>
          </w:p>
        </w:tc>
      </w:tr>
      <w:tr w:rsidR="009F00FC" w:rsidRPr="009F00FC" w14:paraId="28A0D228" w14:textId="77777777" w:rsidTr="00C14EA7">
        <w:trPr>
          <w:trHeight w:val="142"/>
          <w:jc w:val="center"/>
        </w:trPr>
        <w:tc>
          <w:tcPr>
            <w:tcW w:w="10937" w:type="dxa"/>
            <w:gridSpan w:val="13"/>
            <w:shd w:val="clear" w:color="auto" w:fill="99CCFF"/>
          </w:tcPr>
          <w:p w14:paraId="1B18FCA4" w14:textId="77777777" w:rsidR="00C14EA7" w:rsidRPr="009F00FC" w:rsidRDefault="00C14EA7">
            <w:pPr>
              <w:numPr>
                <w:ilvl w:val="0"/>
                <w:numId w:val="4"/>
              </w:numPr>
              <w:spacing w:line="240" w:lineRule="auto"/>
              <w:ind w:left="318" w:hanging="284"/>
              <w:jc w:val="both"/>
              <w:rPr>
                <w:rFonts w:ascii="Times New Roman" w:hAnsi="Times New Roman"/>
                <w:b/>
              </w:rPr>
            </w:pPr>
            <w:r w:rsidRPr="009F00FC">
              <w:rPr>
                <w:rFonts w:ascii="Times New Roman" w:hAnsi="Times New Roman"/>
                <w:b/>
              </w:rPr>
              <w:t xml:space="preserve"> </w:t>
            </w:r>
            <w:r w:rsidRPr="009F00FC">
              <w:rPr>
                <w:rFonts w:ascii="Times New Roman" w:hAnsi="Times New Roman"/>
                <w:b/>
                <w:spacing w:val="-2"/>
              </w:rPr>
              <w:t>W jaki sposób i kiedy nastąpi ewaluacja efektów projektu oraz jakie mierniki zostaną zastosowane?</w:t>
            </w:r>
          </w:p>
        </w:tc>
      </w:tr>
      <w:tr w:rsidR="009F00FC" w:rsidRPr="009F00FC" w14:paraId="1086B47B" w14:textId="77777777" w:rsidTr="002B13D9">
        <w:trPr>
          <w:trHeight w:val="422"/>
          <w:jc w:val="center"/>
        </w:trPr>
        <w:tc>
          <w:tcPr>
            <w:tcW w:w="10937" w:type="dxa"/>
            <w:gridSpan w:val="13"/>
            <w:shd w:val="clear" w:color="auto" w:fill="FFFFFF"/>
          </w:tcPr>
          <w:p w14:paraId="7E592FDF" w14:textId="7BFBDE0C" w:rsidR="00773504" w:rsidRPr="009F00FC" w:rsidRDefault="00773504" w:rsidP="007427BA">
            <w:pPr>
              <w:spacing w:before="120" w:after="120" w:line="240" w:lineRule="auto"/>
              <w:jc w:val="both"/>
              <w:rPr>
                <w:rFonts w:ascii="Times New Roman" w:hAnsi="Times New Roman"/>
                <w:spacing w:val="-2"/>
              </w:rPr>
            </w:pPr>
            <w:r w:rsidRPr="009F00FC">
              <w:rPr>
                <w:rFonts w:ascii="Times New Roman" w:hAnsi="Times New Roman"/>
                <w:spacing w:val="-2"/>
              </w:rPr>
              <w:t>Zgodnie z przepisami dyrektywy 2024/1785 do dnia 30 czerwca 2028 r., a następnie co pięć lat, Komisja Europejska jest zobowiązana przedłożyć Parlamentowi Europejskiemu i Radzie sprawozdanie dokonujące przeglądu wdrażania ww. dyrektywy. Sprawozdanie to zawiera informacje na temat rodzajów działalności, w odniesieniu do których przyjęto konkluzje dotyczące BAT lub nie przyjęto takich konkluzji, uwzględnia dynamikę innowacji, w tym nowe techniki, potrzebę dalszych środków zapobiegania zanieczyszczeniom oraz przegląd, o którym mowa w art. 8 dyrektywy 2003/87/WE, czyli sprawdzenie czy warunki oraz procedura wydawania pozwolenia na emisje gaz</w:t>
            </w:r>
            <w:r w:rsidRPr="009F00FC">
              <w:rPr>
                <w:rFonts w:ascii="Times New Roman" w:hAnsi="Times New Roman" w:hint="eastAsia"/>
                <w:spacing w:val="-2"/>
              </w:rPr>
              <w:t>ó</w:t>
            </w:r>
            <w:r w:rsidRPr="009F00FC">
              <w:rPr>
                <w:rFonts w:ascii="Times New Roman" w:hAnsi="Times New Roman"/>
                <w:spacing w:val="-2"/>
              </w:rPr>
              <w:t>w cieplarnianych s</w:t>
            </w:r>
            <w:r w:rsidRPr="009F00FC">
              <w:rPr>
                <w:rFonts w:ascii="Times New Roman" w:hAnsi="Times New Roman" w:hint="eastAsia"/>
                <w:spacing w:val="-2"/>
              </w:rPr>
              <w:t>ą</w:t>
            </w:r>
            <w:r w:rsidRPr="009F00FC">
              <w:rPr>
                <w:rFonts w:ascii="Times New Roman" w:hAnsi="Times New Roman"/>
                <w:spacing w:val="-2"/>
              </w:rPr>
              <w:t xml:space="preserve"> skoordynowane z warunkami oraz procedurami w odniesieniu do pozwoleń wydawanych na podstawie dyrektywy </w:t>
            </w:r>
            <w:r w:rsidR="0005245D" w:rsidRPr="009F00FC">
              <w:rPr>
                <w:rFonts w:ascii="Times New Roman" w:hAnsi="Times New Roman"/>
                <w:spacing w:val="-2"/>
              </w:rPr>
              <w:t>2024/1785</w:t>
            </w:r>
            <w:r w:rsidRPr="009F00FC">
              <w:rPr>
                <w:rFonts w:ascii="Times New Roman" w:hAnsi="Times New Roman"/>
                <w:spacing w:val="-2"/>
              </w:rPr>
              <w:t>.</w:t>
            </w:r>
          </w:p>
          <w:p w14:paraId="79EC088D" w14:textId="39A3A7D0" w:rsidR="00773504" w:rsidRPr="009F00FC" w:rsidRDefault="00773504" w:rsidP="007427BA">
            <w:pPr>
              <w:spacing w:before="120" w:after="120" w:line="240" w:lineRule="auto"/>
              <w:jc w:val="both"/>
              <w:rPr>
                <w:rFonts w:ascii="Times New Roman" w:hAnsi="Times New Roman"/>
                <w:spacing w:val="-2"/>
              </w:rPr>
            </w:pPr>
            <w:r w:rsidRPr="009F00FC">
              <w:rPr>
                <w:rFonts w:ascii="Times New Roman" w:hAnsi="Times New Roman"/>
                <w:spacing w:val="-2"/>
              </w:rPr>
              <w:t>Sprawozdanie to zawiera ocenę potrzeby podjęcia przez Unię działań w postaci ustanowienia lub aktualizacji minimalnych wymogów obowiązujących w całej Unii dotyczących dopuszczalnych wielkości emisji oraz zasad monitorowania i zgodności rodzajów działalności objętych zakresem konkluzji dotyczących BAT przyjętych w poprzednim pięcioletnim okresie, w oparciu o następujące kryteria:</w:t>
            </w:r>
          </w:p>
          <w:p w14:paraId="5755DE51" w14:textId="7E81F215" w:rsidR="00773504" w:rsidRPr="009F00FC" w:rsidRDefault="00773504" w:rsidP="007427BA">
            <w:pPr>
              <w:pStyle w:val="Akapitzlist"/>
              <w:numPr>
                <w:ilvl w:val="0"/>
                <w:numId w:val="11"/>
              </w:numPr>
              <w:spacing w:before="120" w:after="120" w:line="240" w:lineRule="auto"/>
              <w:ind w:left="311" w:hanging="311"/>
              <w:jc w:val="both"/>
              <w:rPr>
                <w:rFonts w:ascii="Times New Roman" w:hAnsi="Times New Roman"/>
                <w:spacing w:val="-2"/>
              </w:rPr>
            </w:pPr>
            <w:r w:rsidRPr="009F00FC">
              <w:rPr>
                <w:rFonts w:ascii="Times New Roman" w:hAnsi="Times New Roman"/>
                <w:spacing w:val="-2"/>
              </w:rPr>
              <w:t>wpływ danych rodzajów działalności na środowisko jako całość oraz na zdrowie ludzi;</w:t>
            </w:r>
          </w:p>
          <w:p w14:paraId="585002C2" w14:textId="09B46D82" w:rsidR="00C14EA7" w:rsidRPr="009F00FC" w:rsidRDefault="00773504" w:rsidP="007427BA">
            <w:pPr>
              <w:pStyle w:val="Akapitzlist"/>
              <w:numPr>
                <w:ilvl w:val="0"/>
                <w:numId w:val="11"/>
              </w:numPr>
              <w:spacing w:before="120" w:after="120" w:line="240" w:lineRule="auto"/>
              <w:ind w:left="311" w:hanging="311"/>
              <w:contextualSpacing w:val="0"/>
              <w:jc w:val="both"/>
              <w:rPr>
                <w:rFonts w:ascii="Times New Roman" w:hAnsi="Times New Roman"/>
                <w:spacing w:val="-2"/>
              </w:rPr>
            </w:pPr>
            <w:r w:rsidRPr="009F00FC">
              <w:rPr>
                <w:rFonts w:ascii="Times New Roman" w:hAnsi="Times New Roman"/>
                <w:spacing w:val="-2"/>
              </w:rPr>
              <w:t>stan zaawansowania wdrażania najlepszych dostępnych technik w odniesieniu do danych rodzajów działalności.</w:t>
            </w:r>
          </w:p>
        </w:tc>
      </w:tr>
      <w:tr w:rsidR="009F00FC" w:rsidRPr="009F00FC" w14:paraId="4DC21CCE" w14:textId="77777777" w:rsidTr="00C14EA7">
        <w:trPr>
          <w:trHeight w:val="142"/>
          <w:jc w:val="center"/>
        </w:trPr>
        <w:tc>
          <w:tcPr>
            <w:tcW w:w="10937" w:type="dxa"/>
            <w:gridSpan w:val="13"/>
            <w:shd w:val="clear" w:color="auto" w:fill="99CCFF"/>
          </w:tcPr>
          <w:p w14:paraId="1AC68AA8" w14:textId="77777777" w:rsidR="00C14EA7" w:rsidRPr="009F00FC" w:rsidRDefault="00C14EA7">
            <w:pPr>
              <w:numPr>
                <w:ilvl w:val="0"/>
                <w:numId w:val="4"/>
              </w:numPr>
              <w:spacing w:line="240" w:lineRule="auto"/>
              <w:ind w:left="318" w:hanging="284"/>
              <w:jc w:val="both"/>
              <w:rPr>
                <w:rFonts w:ascii="Times New Roman" w:hAnsi="Times New Roman"/>
                <w:b/>
                <w:spacing w:val="-2"/>
              </w:rPr>
            </w:pPr>
            <w:r w:rsidRPr="009F00FC">
              <w:rPr>
                <w:rFonts w:ascii="Times New Roman" w:hAnsi="Times New Roman"/>
                <w:b/>
                <w:spacing w:val="-2"/>
              </w:rPr>
              <w:t xml:space="preserve">Załączniki (istotne dokumenty źródłowe, badania, analizy itp.) </w:t>
            </w:r>
          </w:p>
        </w:tc>
      </w:tr>
      <w:tr w:rsidR="009F00FC" w:rsidRPr="009F00FC" w14:paraId="3A8BAE91" w14:textId="77777777" w:rsidTr="00C14EA7">
        <w:trPr>
          <w:trHeight w:val="142"/>
          <w:jc w:val="center"/>
        </w:trPr>
        <w:tc>
          <w:tcPr>
            <w:tcW w:w="10937" w:type="dxa"/>
            <w:gridSpan w:val="13"/>
            <w:shd w:val="clear" w:color="auto" w:fill="FFFFFF"/>
          </w:tcPr>
          <w:p w14:paraId="3EB13877" w14:textId="7E86F490" w:rsidR="00FF30F2" w:rsidRPr="00FF30F2" w:rsidRDefault="00FF30F2" w:rsidP="00FF30F2">
            <w:pPr>
              <w:spacing w:line="240" w:lineRule="auto"/>
              <w:jc w:val="both"/>
              <w:rPr>
                <w:rFonts w:ascii="Times New Roman" w:hAnsi="Times New Roman"/>
                <w:color w:val="000000" w:themeColor="text1"/>
                <w:lang w:eastAsia="en-GB"/>
              </w:rPr>
            </w:pPr>
            <w:r>
              <w:rPr>
                <w:rFonts w:ascii="Times New Roman" w:hAnsi="Times New Roman"/>
                <w:spacing w:val="-2"/>
              </w:rPr>
              <w:t xml:space="preserve">Załącznik 1. </w:t>
            </w:r>
            <w:r>
              <w:rPr>
                <w:rFonts w:ascii="Times New Roman" w:hAnsi="Times New Roman"/>
                <w:lang w:eastAsia="en-GB"/>
              </w:rPr>
              <w:t xml:space="preserve">Koszt etatów w </w:t>
            </w:r>
            <w:r w:rsidR="0094128A">
              <w:rPr>
                <w:rFonts w:ascii="Times New Roman" w:hAnsi="Times New Roman"/>
                <w:lang w:eastAsia="en-GB"/>
              </w:rPr>
              <w:t>W</w:t>
            </w:r>
            <w:r>
              <w:rPr>
                <w:rFonts w:ascii="Times New Roman" w:hAnsi="Times New Roman"/>
                <w:lang w:eastAsia="en-GB"/>
              </w:rPr>
              <w:t xml:space="preserve">ojewódzkich </w:t>
            </w:r>
            <w:r w:rsidR="0094128A">
              <w:rPr>
                <w:rFonts w:ascii="Times New Roman" w:hAnsi="Times New Roman"/>
                <w:lang w:eastAsia="en-GB"/>
              </w:rPr>
              <w:t>I</w:t>
            </w:r>
            <w:r>
              <w:rPr>
                <w:rFonts w:ascii="Times New Roman" w:hAnsi="Times New Roman"/>
                <w:lang w:eastAsia="en-GB"/>
              </w:rPr>
              <w:t xml:space="preserve">nspektoratach </w:t>
            </w:r>
            <w:r w:rsidR="0094128A">
              <w:rPr>
                <w:rFonts w:ascii="Times New Roman" w:hAnsi="Times New Roman"/>
                <w:lang w:eastAsia="en-GB"/>
              </w:rPr>
              <w:t>O</w:t>
            </w:r>
            <w:r>
              <w:rPr>
                <w:rFonts w:ascii="Times New Roman" w:hAnsi="Times New Roman"/>
                <w:lang w:eastAsia="en-GB"/>
              </w:rPr>
              <w:t xml:space="preserve">chrony </w:t>
            </w:r>
            <w:r w:rsidR="0094128A">
              <w:rPr>
                <w:rFonts w:ascii="Times New Roman" w:hAnsi="Times New Roman"/>
                <w:lang w:eastAsia="en-GB"/>
              </w:rPr>
              <w:t>Ś</w:t>
            </w:r>
            <w:r>
              <w:rPr>
                <w:rFonts w:ascii="Times New Roman" w:hAnsi="Times New Roman"/>
                <w:lang w:eastAsia="en-GB"/>
              </w:rPr>
              <w:t>rodowiska i Głównym Inspektoracie Ochrony Środowiska</w:t>
            </w:r>
          </w:p>
          <w:p w14:paraId="4BF062C6" w14:textId="13F33D52" w:rsidR="00FF30F2" w:rsidRPr="00FF30F2" w:rsidRDefault="00FF30F2" w:rsidP="00FF30F2">
            <w:pPr>
              <w:spacing w:line="240" w:lineRule="auto"/>
              <w:jc w:val="both"/>
              <w:rPr>
                <w:rFonts w:ascii="Times New Roman" w:hAnsi="Times New Roman"/>
                <w:color w:val="000000" w:themeColor="text1"/>
                <w:lang w:eastAsia="en-GB"/>
              </w:rPr>
            </w:pPr>
            <w:r w:rsidRPr="00FF30F2">
              <w:rPr>
                <w:rFonts w:ascii="Times New Roman" w:hAnsi="Times New Roman"/>
                <w:color w:val="000000" w:themeColor="text1"/>
                <w:lang w:eastAsia="en-GB"/>
              </w:rPr>
              <w:t xml:space="preserve">Załącznik 2. </w:t>
            </w:r>
            <w:r>
              <w:rPr>
                <w:rFonts w:ascii="Times New Roman" w:hAnsi="Times New Roman"/>
                <w:bCs/>
                <w:color w:val="000000" w:themeColor="text1"/>
              </w:rPr>
              <w:t>P</w:t>
            </w:r>
            <w:r w:rsidRPr="00FF30F2">
              <w:rPr>
                <w:rFonts w:ascii="Times New Roman" w:hAnsi="Times New Roman"/>
                <w:bCs/>
                <w:color w:val="000000" w:themeColor="text1"/>
              </w:rPr>
              <w:t>odział na kategorie ze wskazaniem</w:t>
            </w:r>
            <w:r>
              <w:rPr>
                <w:rFonts w:ascii="Times New Roman" w:hAnsi="Times New Roman"/>
                <w:bCs/>
                <w:color w:val="000000" w:themeColor="text1"/>
              </w:rPr>
              <w:t>,</w:t>
            </w:r>
            <w:r w:rsidRPr="00FF30F2">
              <w:rPr>
                <w:rFonts w:ascii="Times New Roman" w:hAnsi="Times New Roman"/>
                <w:bCs/>
                <w:color w:val="000000" w:themeColor="text1"/>
              </w:rPr>
              <w:t xml:space="preserve"> które instalacje i w jakiej ilości podlegają marszałkowi województwa, a które staroście</w:t>
            </w:r>
          </w:p>
          <w:p w14:paraId="2AD7F982" w14:textId="2FD01502" w:rsidR="00C14EA7" w:rsidRPr="009F00FC" w:rsidRDefault="00C14EA7" w:rsidP="00C14EA7">
            <w:pPr>
              <w:spacing w:line="240" w:lineRule="auto"/>
              <w:jc w:val="both"/>
              <w:rPr>
                <w:rFonts w:ascii="Times New Roman" w:hAnsi="Times New Roman"/>
                <w:spacing w:val="-2"/>
              </w:rPr>
            </w:pPr>
          </w:p>
        </w:tc>
      </w:tr>
    </w:tbl>
    <w:p w14:paraId="1BB4CF50" w14:textId="77777777" w:rsidR="006176ED" w:rsidRPr="009F00FC" w:rsidRDefault="006176ED" w:rsidP="007A2509">
      <w:pPr>
        <w:pStyle w:val="Nagwek1"/>
        <w:spacing w:before="0" w:after="0"/>
        <w:jc w:val="both"/>
        <w:rPr>
          <w:rFonts w:ascii="Times New Roman" w:hAnsi="Times New Roman" w:cs="Times New Roman"/>
          <w:sz w:val="22"/>
          <w:szCs w:val="22"/>
        </w:rPr>
      </w:pPr>
    </w:p>
    <w:p w14:paraId="3D11E61D" w14:textId="77777777" w:rsidR="003F5C1A" w:rsidRDefault="003F5C1A" w:rsidP="00D81D97">
      <w:pPr>
        <w:rPr>
          <w:lang w:eastAsia="pl-PL"/>
        </w:rPr>
        <w:sectPr w:rsidR="003F5C1A" w:rsidSect="003F5C1A">
          <w:pgSz w:w="11906" w:h="16838"/>
          <w:pgMar w:top="567" w:right="709" w:bottom="567" w:left="720" w:header="709" w:footer="289" w:gutter="0"/>
          <w:cols w:space="708"/>
          <w:docGrid w:linePitch="360"/>
        </w:sectPr>
      </w:pPr>
    </w:p>
    <w:p w14:paraId="3994C3A6" w14:textId="62AEEB8D" w:rsidR="003F5C1A" w:rsidRDefault="003F5C1A" w:rsidP="003F5C1A">
      <w:pPr>
        <w:rPr>
          <w:rFonts w:ascii="Times New Roman" w:hAnsi="Times New Roman"/>
        </w:rPr>
      </w:pPr>
      <w:r>
        <w:rPr>
          <w:rFonts w:ascii="Times New Roman" w:hAnsi="Times New Roman"/>
        </w:rPr>
        <w:lastRenderedPageBreak/>
        <w:t>Załącznik</w:t>
      </w:r>
      <w:r w:rsidR="000D3793">
        <w:rPr>
          <w:rFonts w:ascii="Times New Roman" w:hAnsi="Times New Roman"/>
        </w:rPr>
        <w:t xml:space="preserve"> 1</w:t>
      </w:r>
      <w:r>
        <w:rPr>
          <w:rFonts w:ascii="Times New Roman" w:hAnsi="Times New Roman"/>
        </w:rPr>
        <w:t xml:space="preserve"> do OSR dla projektu ustawy o zmianie ustawy – Prawo ochrony środowiska oraz niektórych innych ustaw</w:t>
      </w:r>
    </w:p>
    <w:p w14:paraId="1B2291BF" w14:textId="77777777" w:rsidR="003F5C1A" w:rsidRDefault="003F5C1A" w:rsidP="003F5C1A">
      <w:pPr>
        <w:spacing w:line="240" w:lineRule="auto"/>
        <w:jc w:val="both"/>
        <w:rPr>
          <w:rFonts w:ascii="Times New Roman" w:hAnsi="Times New Roman" w:cstheme="minorBidi"/>
          <w:lang w:eastAsia="en-GB"/>
        </w:rPr>
      </w:pPr>
    </w:p>
    <w:p w14:paraId="183E0915" w14:textId="3AA37F31" w:rsidR="003F5C1A" w:rsidRDefault="003F5C1A" w:rsidP="003F5C1A">
      <w:pPr>
        <w:spacing w:line="240" w:lineRule="auto"/>
        <w:jc w:val="both"/>
        <w:rPr>
          <w:rFonts w:ascii="Times New Roman" w:hAnsi="Times New Roman"/>
          <w:lang w:eastAsia="en-GB"/>
        </w:rPr>
      </w:pPr>
      <w:r>
        <w:rPr>
          <w:rFonts w:ascii="Times New Roman" w:hAnsi="Times New Roman"/>
          <w:lang w:eastAsia="en-GB"/>
        </w:rPr>
        <w:t xml:space="preserve">Koszt etatów w </w:t>
      </w:r>
      <w:r w:rsidR="009A551E">
        <w:rPr>
          <w:rFonts w:ascii="Times New Roman" w:hAnsi="Times New Roman"/>
          <w:lang w:eastAsia="en-GB"/>
        </w:rPr>
        <w:t>W</w:t>
      </w:r>
      <w:r>
        <w:rPr>
          <w:rFonts w:ascii="Times New Roman" w:hAnsi="Times New Roman"/>
          <w:lang w:eastAsia="en-GB"/>
        </w:rPr>
        <w:t xml:space="preserve">ojewódzkich </w:t>
      </w:r>
      <w:r w:rsidR="009A551E">
        <w:rPr>
          <w:rFonts w:ascii="Times New Roman" w:hAnsi="Times New Roman"/>
          <w:lang w:eastAsia="en-GB"/>
        </w:rPr>
        <w:t>I</w:t>
      </w:r>
      <w:r>
        <w:rPr>
          <w:rFonts w:ascii="Times New Roman" w:hAnsi="Times New Roman"/>
          <w:lang w:eastAsia="en-GB"/>
        </w:rPr>
        <w:t xml:space="preserve">nspektoratach </w:t>
      </w:r>
      <w:r w:rsidR="009A551E">
        <w:rPr>
          <w:rFonts w:ascii="Times New Roman" w:hAnsi="Times New Roman"/>
          <w:lang w:eastAsia="en-GB"/>
        </w:rPr>
        <w:t>O</w:t>
      </w:r>
      <w:r>
        <w:rPr>
          <w:rFonts w:ascii="Times New Roman" w:hAnsi="Times New Roman"/>
          <w:lang w:eastAsia="en-GB"/>
        </w:rPr>
        <w:t xml:space="preserve">chrony </w:t>
      </w:r>
      <w:r w:rsidR="009A551E">
        <w:rPr>
          <w:rFonts w:ascii="Times New Roman" w:hAnsi="Times New Roman"/>
          <w:lang w:eastAsia="en-GB"/>
        </w:rPr>
        <w:t>Ś</w:t>
      </w:r>
      <w:r>
        <w:rPr>
          <w:rFonts w:ascii="Times New Roman" w:hAnsi="Times New Roman"/>
          <w:lang w:eastAsia="en-GB"/>
        </w:rPr>
        <w:t>rodowiska (część budżetowa 85)</w:t>
      </w:r>
    </w:p>
    <w:tbl>
      <w:tblPr>
        <w:tblStyle w:val="Tabela-Siatka"/>
        <w:tblW w:w="0" w:type="auto"/>
        <w:tblLayout w:type="fixed"/>
        <w:tblLook w:val="04A0" w:firstRow="1" w:lastRow="0" w:firstColumn="1" w:lastColumn="0" w:noHBand="0" w:noVBand="1"/>
      </w:tblPr>
      <w:tblGrid>
        <w:gridCol w:w="1980"/>
        <w:gridCol w:w="1276"/>
        <w:gridCol w:w="840"/>
        <w:gridCol w:w="1459"/>
        <w:gridCol w:w="1459"/>
        <w:gridCol w:w="1460"/>
        <w:gridCol w:w="1459"/>
        <w:gridCol w:w="1460"/>
        <w:gridCol w:w="1459"/>
        <w:gridCol w:w="1460"/>
      </w:tblGrid>
      <w:tr w:rsidR="003F5C1A" w14:paraId="4E8F3751" w14:textId="77777777" w:rsidTr="003F5C1A">
        <w:trPr>
          <w:trHeight w:val="105"/>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EEF230D"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Nazwa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7207AF2"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 zł</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4196BDC"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liczba etatów</w:t>
            </w:r>
          </w:p>
        </w:tc>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E4B9783"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2030</w:t>
            </w:r>
          </w:p>
        </w:tc>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5004619"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2031</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68DE7D4"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2032</w:t>
            </w:r>
          </w:p>
        </w:tc>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D037313"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2033</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8628F8B"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2034</w:t>
            </w:r>
          </w:p>
        </w:tc>
        <w:tc>
          <w:tcPr>
            <w:tcW w:w="14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829BA10"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2035</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3D3C73C" w14:textId="77777777" w:rsidR="003F5C1A" w:rsidRDefault="003F5C1A">
            <w:pPr>
              <w:spacing w:line="240" w:lineRule="auto"/>
              <w:jc w:val="center"/>
              <w:rPr>
                <w:rFonts w:ascii="Times New Roman" w:hAnsi="Times New Roman"/>
                <w:b/>
                <w:bCs/>
                <w:lang w:eastAsia="pl-PL"/>
              </w:rPr>
            </w:pPr>
            <w:r>
              <w:rPr>
                <w:rFonts w:ascii="Times New Roman" w:hAnsi="Times New Roman"/>
                <w:b/>
                <w:bCs/>
                <w:lang w:eastAsia="pl-PL"/>
              </w:rPr>
              <w:t>2036</w:t>
            </w:r>
          </w:p>
        </w:tc>
      </w:tr>
      <w:tr w:rsidR="003F5C1A" w14:paraId="71446C9C" w14:textId="77777777" w:rsidTr="003F5C1A">
        <w:trPr>
          <w:trHeight w:val="181"/>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9F531" w14:textId="77777777" w:rsidR="003F5C1A" w:rsidRDefault="003F5C1A">
            <w:pPr>
              <w:spacing w:line="240" w:lineRule="auto"/>
              <w:rPr>
                <w:rFonts w:ascii="Times New Roman" w:hAnsi="Times New Roman"/>
                <w:lang w:eastAsia="pl-PL"/>
              </w:rPr>
            </w:pPr>
            <w:r>
              <w:rPr>
                <w:rFonts w:ascii="Times New Roman" w:hAnsi="Times New Roman"/>
                <w:lang w:eastAsia="pl-PL"/>
              </w:rPr>
              <w:t xml:space="preserve">wynagrodzenie zasadnicze </w:t>
            </w:r>
          </w:p>
        </w:tc>
        <w:tc>
          <w:tcPr>
            <w:tcW w:w="1276" w:type="dxa"/>
            <w:tcBorders>
              <w:top w:val="single" w:sz="4" w:space="0" w:color="auto"/>
              <w:left w:val="single" w:sz="4" w:space="0" w:color="auto"/>
              <w:bottom w:val="single" w:sz="4" w:space="0" w:color="auto"/>
              <w:right w:val="single" w:sz="4" w:space="0" w:color="auto"/>
            </w:tcBorders>
            <w:noWrap/>
            <w:hideMark/>
          </w:tcPr>
          <w:p w14:paraId="1B503FAE" w14:textId="77777777" w:rsidR="003F5C1A" w:rsidRDefault="003F5C1A">
            <w:pPr>
              <w:spacing w:line="240" w:lineRule="auto"/>
              <w:rPr>
                <w:rFonts w:ascii="Times New Roman" w:hAnsi="Times New Roman"/>
                <w:lang w:eastAsia="pl-PL"/>
              </w:rPr>
            </w:pPr>
            <w:r>
              <w:rPr>
                <w:rFonts w:ascii="Times New Roman" w:hAnsi="Times New Roman"/>
                <w:lang w:eastAsia="pl-PL"/>
              </w:rPr>
              <w:t> </w:t>
            </w:r>
          </w:p>
        </w:tc>
        <w:tc>
          <w:tcPr>
            <w:tcW w:w="840" w:type="dxa"/>
            <w:tcBorders>
              <w:top w:val="single" w:sz="4" w:space="0" w:color="auto"/>
              <w:left w:val="single" w:sz="4" w:space="0" w:color="auto"/>
              <w:bottom w:val="single" w:sz="4" w:space="0" w:color="auto"/>
              <w:right w:val="single" w:sz="4" w:space="0" w:color="auto"/>
            </w:tcBorders>
            <w:noWrap/>
            <w:hideMark/>
          </w:tcPr>
          <w:p w14:paraId="70A7B8BF" w14:textId="77777777" w:rsidR="003F5C1A" w:rsidRDefault="003F5C1A">
            <w:pPr>
              <w:spacing w:line="240" w:lineRule="auto"/>
              <w:rPr>
                <w:rFonts w:ascii="Times New Roman" w:hAnsi="Times New Roman"/>
                <w:lang w:eastAsia="pl-PL"/>
              </w:rPr>
            </w:pPr>
            <w:r>
              <w:rPr>
                <w:rFonts w:ascii="Times New Roman" w:hAnsi="Times New Roman"/>
                <w:lang w:eastAsia="pl-PL"/>
              </w:rPr>
              <w:t>21,5</w:t>
            </w:r>
          </w:p>
        </w:tc>
        <w:tc>
          <w:tcPr>
            <w:tcW w:w="1459" w:type="dxa"/>
            <w:tcBorders>
              <w:top w:val="single" w:sz="4" w:space="0" w:color="auto"/>
              <w:left w:val="single" w:sz="4" w:space="0" w:color="auto"/>
              <w:bottom w:val="single" w:sz="4" w:space="0" w:color="auto"/>
              <w:right w:val="single" w:sz="4" w:space="0" w:color="auto"/>
            </w:tcBorders>
            <w:noWrap/>
            <w:hideMark/>
          </w:tcPr>
          <w:p w14:paraId="6D675C9D"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3 268 878,86 zł </w:t>
            </w:r>
          </w:p>
        </w:tc>
        <w:tc>
          <w:tcPr>
            <w:tcW w:w="1459" w:type="dxa"/>
            <w:tcBorders>
              <w:top w:val="single" w:sz="4" w:space="0" w:color="auto"/>
              <w:left w:val="single" w:sz="4" w:space="0" w:color="auto"/>
              <w:bottom w:val="single" w:sz="4" w:space="0" w:color="auto"/>
              <w:right w:val="single" w:sz="4" w:space="0" w:color="auto"/>
            </w:tcBorders>
            <w:noWrap/>
            <w:hideMark/>
          </w:tcPr>
          <w:p w14:paraId="3158DC29"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3 437 714,96 zł </w:t>
            </w:r>
          </w:p>
        </w:tc>
        <w:tc>
          <w:tcPr>
            <w:tcW w:w="1460" w:type="dxa"/>
            <w:tcBorders>
              <w:top w:val="single" w:sz="4" w:space="0" w:color="auto"/>
              <w:left w:val="single" w:sz="4" w:space="0" w:color="auto"/>
              <w:bottom w:val="single" w:sz="4" w:space="0" w:color="auto"/>
              <w:right w:val="single" w:sz="4" w:space="0" w:color="auto"/>
            </w:tcBorders>
            <w:noWrap/>
            <w:hideMark/>
          </w:tcPr>
          <w:p w14:paraId="3902E4BD"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3 613 270,87 zł </w:t>
            </w:r>
          </w:p>
        </w:tc>
        <w:tc>
          <w:tcPr>
            <w:tcW w:w="1459" w:type="dxa"/>
            <w:tcBorders>
              <w:top w:val="single" w:sz="4" w:space="0" w:color="auto"/>
              <w:left w:val="single" w:sz="4" w:space="0" w:color="auto"/>
              <w:bottom w:val="single" w:sz="4" w:space="0" w:color="auto"/>
              <w:right w:val="single" w:sz="4" w:space="0" w:color="auto"/>
            </w:tcBorders>
            <w:noWrap/>
            <w:hideMark/>
          </w:tcPr>
          <w:p w14:paraId="3F0E0A51"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3 795 689,33 zł </w:t>
            </w:r>
          </w:p>
        </w:tc>
        <w:tc>
          <w:tcPr>
            <w:tcW w:w="1460" w:type="dxa"/>
            <w:tcBorders>
              <w:top w:val="single" w:sz="4" w:space="0" w:color="auto"/>
              <w:left w:val="single" w:sz="4" w:space="0" w:color="auto"/>
              <w:bottom w:val="single" w:sz="4" w:space="0" w:color="auto"/>
              <w:right w:val="single" w:sz="4" w:space="0" w:color="auto"/>
            </w:tcBorders>
            <w:noWrap/>
            <w:hideMark/>
          </w:tcPr>
          <w:p w14:paraId="18AE8F3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3 985 108,50 zł </w:t>
            </w:r>
          </w:p>
        </w:tc>
        <w:tc>
          <w:tcPr>
            <w:tcW w:w="1459" w:type="dxa"/>
            <w:tcBorders>
              <w:top w:val="single" w:sz="4" w:space="0" w:color="auto"/>
              <w:left w:val="single" w:sz="4" w:space="0" w:color="auto"/>
              <w:bottom w:val="single" w:sz="4" w:space="0" w:color="auto"/>
              <w:right w:val="single" w:sz="4" w:space="0" w:color="auto"/>
            </w:tcBorders>
            <w:noWrap/>
            <w:hideMark/>
          </w:tcPr>
          <w:p w14:paraId="7BB9A10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4 183 980,40 zł </w:t>
            </w:r>
          </w:p>
        </w:tc>
        <w:tc>
          <w:tcPr>
            <w:tcW w:w="1460" w:type="dxa"/>
            <w:tcBorders>
              <w:top w:val="single" w:sz="4" w:space="0" w:color="auto"/>
              <w:left w:val="single" w:sz="4" w:space="0" w:color="auto"/>
              <w:bottom w:val="single" w:sz="4" w:space="0" w:color="auto"/>
              <w:right w:val="single" w:sz="4" w:space="0" w:color="auto"/>
            </w:tcBorders>
            <w:noWrap/>
            <w:hideMark/>
          </w:tcPr>
          <w:p w14:paraId="1B6448AA"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4 392 776,76 zł </w:t>
            </w:r>
          </w:p>
        </w:tc>
      </w:tr>
      <w:tr w:rsidR="003F5C1A" w14:paraId="4E8B592C" w14:textId="77777777" w:rsidTr="003F5C1A">
        <w:trPr>
          <w:trHeight w:val="31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907881E" w14:textId="77777777" w:rsidR="003F5C1A" w:rsidRDefault="003F5C1A">
            <w:pPr>
              <w:spacing w:line="240" w:lineRule="auto"/>
              <w:rPr>
                <w:rFonts w:ascii="Times New Roman" w:hAnsi="Times New Roman"/>
                <w:lang w:eastAsia="pl-PL"/>
              </w:rPr>
            </w:pPr>
            <w:r>
              <w:rPr>
                <w:rFonts w:ascii="Times New Roman" w:hAnsi="Times New Roman"/>
                <w:lang w:eastAsia="pl-PL"/>
              </w:rPr>
              <w:t>DWR</w:t>
            </w:r>
          </w:p>
        </w:tc>
        <w:tc>
          <w:tcPr>
            <w:tcW w:w="1276" w:type="dxa"/>
            <w:tcBorders>
              <w:top w:val="single" w:sz="4" w:space="0" w:color="auto"/>
              <w:left w:val="single" w:sz="4" w:space="0" w:color="auto"/>
              <w:bottom w:val="single" w:sz="4" w:space="0" w:color="auto"/>
              <w:right w:val="single" w:sz="4" w:space="0" w:color="auto"/>
            </w:tcBorders>
            <w:noWrap/>
            <w:hideMark/>
          </w:tcPr>
          <w:p w14:paraId="60FDD305" w14:textId="77777777" w:rsidR="003F5C1A" w:rsidRDefault="003F5C1A">
            <w:pPr>
              <w:spacing w:line="240" w:lineRule="auto"/>
              <w:rPr>
                <w:rFonts w:ascii="Times New Roman" w:hAnsi="Times New Roman"/>
                <w:lang w:eastAsia="pl-PL"/>
              </w:rPr>
            </w:pPr>
            <w:r>
              <w:rPr>
                <w:rFonts w:ascii="Times New Roman" w:hAnsi="Times New Roman"/>
                <w:lang w:eastAsia="pl-PL"/>
              </w:rPr>
              <w:t>8,50%</w:t>
            </w:r>
          </w:p>
        </w:tc>
        <w:tc>
          <w:tcPr>
            <w:tcW w:w="840" w:type="dxa"/>
            <w:tcBorders>
              <w:top w:val="single" w:sz="4" w:space="0" w:color="auto"/>
              <w:left w:val="single" w:sz="4" w:space="0" w:color="auto"/>
              <w:bottom w:val="single" w:sz="4" w:space="0" w:color="auto"/>
              <w:right w:val="single" w:sz="4" w:space="0" w:color="auto"/>
            </w:tcBorders>
            <w:noWrap/>
            <w:hideMark/>
          </w:tcPr>
          <w:p w14:paraId="049544C8" w14:textId="77777777" w:rsidR="003F5C1A" w:rsidRDefault="003F5C1A">
            <w:pPr>
              <w:spacing w:line="240" w:lineRule="auto"/>
              <w:rPr>
                <w:rFonts w:ascii="Times New Roman" w:hAnsi="Times New Roman"/>
                <w:lang w:eastAsia="pl-PL"/>
              </w:rPr>
            </w:pPr>
            <w:r>
              <w:rPr>
                <w:rFonts w:ascii="Times New Roman" w:hAnsi="Times New Roman"/>
                <w:lang w:eastAsia="pl-PL"/>
              </w:rPr>
              <w:t>21,5</w:t>
            </w:r>
          </w:p>
        </w:tc>
        <w:tc>
          <w:tcPr>
            <w:tcW w:w="1459" w:type="dxa"/>
            <w:tcBorders>
              <w:top w:val="single" w:sz="4" w:space="0" w:color="auto"/>
              <w:left w:val="single" w:sz="4" w:space="0" w:color="auto"/>
              <w:bottom w:val="single" w:sz="4" w:space="0" w:color="auto"/>
              <w:right w:val="single" w:sz="4" w:space="0" w:color="auto"/>
            </w:tcBorders>
            <w:noWrap/>
            <w:hideMark/>
          </w:tcPr>
          <w:p w14:paraId="6D7C5796"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59" w:type="dxa"/>
            <w:tcBorders>
              <w:top w:val="single" w:sz="4" w:space="0" w:color="auto"/>
              <w:left w:val="single" w:sz="4" w:space="0" w:color="auto"/>
              <w:bottom w:val="single" w:sz="4" w:space="0" w:color="auto"/>
              <w:right w:val="single" w:sz="4" w:space="0" w:color="auto"/>
            </w:tcBorders>
            <w:noWrap/>
            <w:hideMark/>
          </w:tcPr>
          <w:p w14:paraId="563918C4"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277 854,70 zł </w:t>
            </w:r>
          </w:p>
        </w:tc>
        <w:tc>
          <w:tcPr>
            <w:tcW w:w="1460" w:type="dxa"/>
            <w:tcBorders>
              <w:top w:val="single" w:sz="4" w:space="0" w:color="auto"/>
              <w:left w:val="single" w:sz="4" w:space="0" w:color="auto"/>
              <w:bottom w:val="single" w:sz="4" w:space="0" w:color="auto"/>
              <w:right w:val="single" w:sz="4" w:space="0" w:color="auto"/>
            </w:tcBorders>
            <w:noWrap/>
            <w:hideMark/>
          </w:tcPr>
          <w:p w14:paraId="6777FA08"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292 205,77 zł </w:t>
            </w:r>
          </w:p>
        </w:tc>
        <w:tc>
          <w:tcPr>
            <w:tcW w:w="1459" w:type="dxa"/>
            <w:tcBorders>
              <w:top w:val="single" w:sz="4" w:space="0" w:color="auto"/>
              <w:left w:val="single" w:sz="4" w:space="0" w:color="auto"/>
              <w:bottom w:val="single" w:sz="4" w:space="0" w:color="auto"/>
              <w:right w:val="single" w:sz="4" w:space="0" w:color="auto"/>
            </w:tcBorders>
            <w:noWrap/>
            <w:hideMark/>
          </w:tcPr>
          <w:p w14:paraId="00BFF527"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307 128,02 zł </w:t>
            </w:r>
          </w:p>
        </w:tc>
        <w:tc>
          <w:tcPr>
            <w:tcW w:w="1460" w:type="dxa"/>
            <w:tcBorders>
              <w:top w:val="single" w:sz="4" w:space="0" w:color="auto"/>
              <w:left w:val="single" w:sz="4" w:space="0" w:color="auto"/>
              <w:bottom w:val="single" w:sz="4" w:space="0" w:color="auto"/>
              <w:right w:val="single" w:sz="4" w:space="0" w:color="auto"/>
            </w:tcBorders>
            <w:noWrap/>
            <w:hideMark/>
          </w:tcPr>
          <w:p w14:paraId="5F2C9063"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322 633,59 zł </w:t>
            </w:r>
          </w:p>
        </w:tc>
        <w:tc>
          <w:tcPr>
            <w:tcW w:w="1459" w:type="dxa"/>
            <w:tcBorders>
              <w:top w:val="single" w:sz="4" w:space="0" w:color="auto"/>
              <w:left w:val="single" w:sz="4" w:space="0" w:color="auto"/>
              <w:bottom w:val="single" w:sz="4" w:space="0" w:color="auto"/>
              <w:right w:val="single" w:sz="4" w:space="0" w:color="auto"/>
            </w:tcBorders>
            <w:noWrap/>
            <w:hideMark/>
          </w:tcPr>
          <w:p w14:paraId="4BAC2126"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338 734,22 zł </w:t>
            </w:r>
          </w:p>
        </w:tc>
        <w:tc>
          <w:tcPr>
            <w:tcW w:w="1460" w:type="dxa"/>
            <w:tcBorders>
              <w:top w:val="single" w:sz="4" w:space="0" w:color="auto"/>
              <w:left w:val="single" w:sz="4" w:space="0" w:color="auto"/>
              <w:bottom w:val="single" w:sz="4" w:space="0" w:color="auto"/>
              <w:right w:val="single" w:sz="4" w:space="0" w:color="auto"/>
            </w:tcBorders>
            <w:noWrap/>
            <w:hideMark/>
          </w:tcPr>
          <w:p w14:paraId="2580856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355 638,33 zł </w:t>
            </w:r>
          </w:p>
        </w:tc>
      </w:tr>
      <w:tr w:rsidR="003F5C1A" w14:paraId="5480414A" w14:textId="77777777" w:rsidTr="003F5C1A">
        <w:trPr>
          <w:trHeight w:val="342"/>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2E8DE20" w14:textId="77777777" w:rsidR="003F5C1A" w:rsidRDefault="003F5C1A">
            <w:pPr>
              <w:spacing w:line="240" w:lineRule="auto"/>
              <w:rPr>
                <w:rFonts w:ascii="Times New Roman" w:hAnsi="Times New Roman"/>
                <w:lang w:eastAsia="pl-PL"/>
              </w:rPr>
            </w:pPr>
            <w:r>
              <w:rPr>
                <w:rFonts w:ascii="Times New Roman" w:hAnsi="Times New Roman"/>
                <w:lang w:eastAsia="pl-PL"/>
              </w:rPr>
              <w:t>ZUS</w:t>
            </w:r>
          </w:p>
        </w:tc>
        <w:tc>
          <w:tcPr>
            <w:tcW w:w="1276" w:type="dxa"/>
            <w:tcBorders>
              <w:top w:val="single" w:sz="4" w:space="0" w:color="auto"/>
              <w:left w:val="single" w:sz="4" w:space="0" w:color="auto"/>
              <w:bottom w:val="single" w:sz="4" w:space="0" w:color="auto"/>
              <w:right w:val="single" w:sz="4" w:space="0" w:color="auto"/>
            </w:tcBorders>
            <w:noWrap/>
            <w:hideMark/>
          </w:tcPr>
          <w:p w14:paraId="4A9E561B" w14:textId="77777777" w:rsidR="003F5C1A" w:rsidRDefault="003F5C1A">
            <w:pPr>
              <w:spacing w:line="240" w:lineRule="auto"/>
              <w:rPr>
                <w:rFonts w:ascii="Times New Roman" w:hAnsi="Times New Roman"/>
                <w:lang w:eastAsia="pl-PL"/>
              </w:rPr>
            </w:pPr>
            <w:r>
              <w:rPr>
                <w:rFonts w:ascii="Times New Roman" w:hAnsi="Times New Roman"/>
                <w:lang w:eastAsia="pl-PL"/>
              </w:rPr>
              <w:t>17,19%</w:t>
            </w:r>
          </w:p>
        </w:tc>
        <w:tc>
          <w:tcPr>
            <w:tcW w:w="840" w:type="dxa"/>
            <w:tcBorders>
              <w:top w:val="single" w:sz="4" w:space="0" w:color="auto"/>
              <w:left w:val="single" w:sz="4" w:space="0" w:color="auto"/>
              <w:bottom w:val="single" w:sz="4" w:space="0" w:color="auto"/>
              <w:right w:val="single" w:sz="4" w:space="0" w:color="auto"/>
            </w:tcBorders>
            <w:noWrap/>
            <w:hideMark/>
          </w:tcPr>
          <w:p w14:paraId="375A138A" w14:textId="77777777" w:rsidR="003F5C1A" w:rsidRDefault="003F5C1A">
            <w:pPr>
              <w:spacing w:line="240" w:lineRule="auto"/>
              <w:rPr>
                <w:rFonts w:ascii="Times New Roman" w:hAnsi="Times New Roman"/>
                <w:lang w:eastAsia="pl-PL"/>
              </w:rPr>
            </w:pPr>
            <w:r>
              <w:rPr>
                <w:rFonts w:ascii="Times New Roman" w:hAnsi="Times New Roman"/>
                <w:lang w:eastAsia="pl-PL"/>
              </w:rPr>
              <w:t>21,5</w:t>
            </w:r>
          </w:p>
        </w:tc>
        <w:tc>
          <w:tcPr>
            <w:tcW w:w="1459" w:type="dxa"/>
            <w:tcBorders>
              <w:top w:val="single" w:sz="4" w:space="0" w:color="auto"/>
              <w:left w:val="single" w:sz="4" w:space="0" w:color="auto"/>
              <w:bottom w:val="single" w:sz="4" w:space="0" w:color="auto"/>
              <w:right w:val="single" w:sz="4" w:space="0" w:color="auto"/>
            </w:tcBorders>
            <w:noWrap/>
            <w:hideMark/>
          </w:tcPr>
          <w:p w14:paraId="15AC64C9"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561 920,28 zł </w:t>
            </w:r>
          </w:p>
        </w:tc>
        <w:tc>
          <w:tcPr>
            <w:tcW w:w="1459" w:type="dxa"/>
            <w:tcBorders>
              <w:top w:val="single" w:sz="4" w:space="0" w:color="auto"/>
              <w:left w:val="single" w:sz="4" w:space="0" w:color="auto"/>
              <w:bottom w:val="single" w:sz="4" w:space="0" w:color="auto"/>
              <w:right w:val="single" w:sz="4" w:space="0" w:color="auto"/>
            </w:tcBorders>
            <w:noWrap/>
            <w:hideMark/>
          </w:tcPr>
          <w:p w14:paraId="11A329B8"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638 706,43 zł </w:t>
            </w:r>
          </w:p>
        </w:tc>
        <w:tc>
          <w:tcPr>
            <w:tcW w:w="1460" w:type="dxa"/>
            <w:tcBorders>
              <w:top w:val="single" w:sz="4" w:space="0" w:color="auto"/>
              <w:left w:val="single" w:sz="4" w:space="0" w:color="auto"/>
              <w:bottom w:val="single" w:sz="4" w:space="0" w:color="auto"/>
              <w:right w:val="single" w:sz="4" w:space="0" w:color="auto"/>
            </w:tcBorders>
            <w:noWrap/>
            <w:hideMark/>
          </w:tcPr>
          <w:p w14:paraId="3B844240"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671 351,43 zł </w:t>
            </w:r>
          </w:p>
        </w:tc>
        <w:tc>
          <w:tcPr>
            <w:tcW w:w="1459" w:type="dxa"/>
            <w:tcBorders>
              <w:top w:val="single" w:sz="4" w:space="0" w:color="auto"/>
              <w:left w:val="single" w:sz="4" w:space="0" w:color="auto"/>
              <w:bottom w:val="single" w:sz="4" w:space="0" w:color="auto"/>
              <w:right w:val="single" w:sz="4" w:space="0" w:color="auto"/>
            </w:tcBorders>
            <w:noWrap/>
            <w:hideMark/>
          </w:tcPr>
          <w:p w14:paraId="5BEE52E3"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705 274,30 zł </w:t>
            </w:r>
          </w:p>
        </w:tc>
        <w:tc>
          <w:tcPr>
            <w:tcW w:w="1460" w:type="dxa"/>
            <w:tcBorders>
              <w:top w:val="single" w:sz="4" w:space="0" w:color="auto"/>
              <w:left w:val="single" w:sz="4" w:space="0" w:color="auto"/>
              <w:bottom w:val="single" w:sz="4" w:space="0" w:color="auto"/>
              <w:right w:val="single" w:sz="4" w:space="0" w:color="auto"/>
            </w:tcBorders>
            <w:noWrap/>
            <w:hideMark/>
          </w:tcPr>
          <w:p w14:paraId="60EEACC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740 500,87 zł </w:t>
            </w:r>
          </w:p>
        </w:tc>
        <w:tc>
          <w:tcPr>
            <w:tcW w:w="1459" w:type="dxa"/>
            <w:tcBorders>
              <w:top w:val="single" w:sz="4" w:space="0" w:color="auto"/>
              <w:left w:val="single" w:sz="4" w:space="0" w:color="auto"/>
              <w:bottom w:val="single" w:sz="4" w:space="0" w:color="auto"/>
              <w:right w:val="single" w:sz="4" w:space="0" w:color="auto"/>
            </w:tcBorders>
            <w:noWrap/>
            <w:hideMark/>
          </w:tcPr>
          <w:p w14:paraId="3F680240"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777 454,64 zł </w:t>
            </w:r>
          </w:p>
        </w:tc>
        <w:tc>
          <w:tcPr>
            <w:tcW w:w="1460" w:type="dxa"/>
            <w:tcBorders>
              <w:top w:val="single" w:sz="4" w:space="0" w:color="auto"/>
              <w:left w:val="single" w:sz="4" w:space="0" w:color="auto"/>
              <w:bottom w:val="single" w:sz="4" w:space="0" w:color="auto"/>
              <w:right w:val="single" w:sz="4" w:space="0" w:color="auto"/>
            </w:tcBorders>
            <w:noWrap/>
            <w:hideMark/>
          </w:tcPr>
          <w:p w14:paraId="142B198F"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816 252,56 zł </w:t>
            </w:r>
          </w:p>
        </w:tc>
      </w:tr>
      <w:tr w:rsidR="003F5C1A" w14:paraId="267D460D" w14:textId="77777777" w:rsidTr="003F5C1A">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7559284" w14:textId="77777777" w:rsidR="003F5C1A" w:rsidRDefault="003F5C1A">
            <w:pPr>
              <w:spacing w:line="240" w:lineRule="auto"/>
              <w:rPr>
                <w:rFonts w:ascii="Times New Roman" w:hAnsi="Times New Roman"/>
                <w:lang w:eastAsia="pl-PL"/>
              </w:rPr>
            </w:pPr>
            <w:r>
              <w:rPr>
                <w:rFonts w:ascii="Times New Roman" w:hAnsi="Times New Roman"/>
                <w:lang w:eastAsia="pl-PL"/>
              </w:rPr>
              <w:t>FP</w:t>
            </w:r>
          </w:p>
        </w:tc>
        <w:tc>
          <w:tcPr>
            <w:tcW w:w="1276" w:type="dxa"/>
            <w:tcBorders>
              <w:top w:val="single" w:sz="4" w:space="0" w:color="auto"/>
              <w:left w:val="single" w:sz="4" w:space="0" w:color="auto"/>
              <w:bottom w:val="single" w:sz="4" w:space="0" w:color="auto"/>
              <w:right w:val="single" w:sz="4" w:space="0" w:color="auto"/>
            </w:tcBorders>
            <w:noWrap/>
            <w:hideMark/>
          </w:tcPr>
          <w:p w14:paraId="08E2BB9B" w14:textId="77777777" w:rsidR="003F5C1A" w:rsidRDefault="003F5C1A">
            <w:pPr>
              <w:spacing w:line="240" w:lineRule="auto"/>
              <w:rPr>
                <w:rFonts w:ascii="Times New Roman" w:hAnsi="Times New Roman"/>
                <w:lang w:eastAsia="pl-PL"/>
              </w:rPr>
            </w:pPr>
            <w:r>
              <w:rPr>
                <w:rFonts w:ascii="Times New Roman" w:hAnsi="Times New Roman"/>
                <w:lang w:eastAsia="pl-PL"/>
              </w:rPr>
              <w:t>2,45%</w:t>
            </w:r>
          </w:p>
        </w:tc>
        <w:tc>
          <w:tcPr>
            <w:tcW w:w="840" w:type="dxa"/>
            <w:tcBorders>
              <w:top w:val="single" w:sz="4" w:space="0" w:color="auto"/>
              <w:left w:val="single" w:sz="4" w:space="0" w:color="auto"/>
              <w:bottom w:val="single" w:sz="4" w:space="0" w:color="auto"/>
              <w:right w:val="single" w:sz="4" w:space="0" w:color="auto"/>
            </w:tcBorders>
            <w:noWrap/>
            <w:hideMark/>
          </w:tcPr>
          <w:p w14:paraId="7D43E120" w14:textId="77777777" w:rsidR="003F5C1A" w:rsidRDefault="003F5C1A">
            <w:pPr>
              <w:spacing w:line="240" w:lineRule="auto"/>
              <w:rPr>
                <w:rFonts w:ascii="Times New Roman" w:hAnsi="Times New Roman"/>
                <w:lang w:eastAsia="pl-PL"/>
              </w:rPr>
            </w:pPr>
            <w:r>
              <w:rPr>
                <w:rFonts w:ascii="Times New Roman" w:hAnsi="Times New Roman"/>
                <w:lang w:eastAsia="pl-PL"/>
              </w:rPr>
              <w:t>21,5</w:t>
            </w:r>
          </w:p>
        </w:tc>
        <w:tc>
          <w:tcPr>
            <w:tcW w:w="1459" w:type="dxa"/>
            <w:tcBorders>
              <w:top w:val="single" w:sz="4" w:space="0" w:color="auto"/>
              <w:left w:val="single" w:sz="4" w:space="0" w:color="auto"/>
              <w:bottom w:val="single" w:sz="4" w:space="0" w:color="auto"/>
              <w:right w:val="single" w:sz="4" w:space="0" w:color="auto"/>
            </w:tcBorders>
            <w:noWrap/>
            <w:hideMark/>
          </w:tcPr>
          <w:p w14:paraId="30209531"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80 087,53 zł </w:t>
            </w:r>
          </w:p>
        </w:tc>
        <w:tc>
          <w:tcPr>
            <w:tcW w:w="1459" w:type="dxa"/>
            <w:tcBorders>
              <w:top w:val="single" w:sz="4" w:space="0" w:color="auto"/>
              <w:left w:val="single" w:sz="4" w:space="0" w:color="auto"/>
              <w:bottom w:val="single" w:sz="4" w:space="0" w:color="auto"/>
              <w:right w:val="single" w:sz="4" w:space="0" w:color="auto"/>
            </w:tcBorders>
            <w:noWrap/>
            <w:hideMark/>
          </w:tcPr>
          <w:p w14:paraId="6D084959"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91 031,46 zł </w:t>
            </w:r>
          </w:p>
        </w:tc>
        <w:tc>
          <w:tcPr>
            <w:tcW w:w="1460" w:type="dxa"/>
            <w:tcBorders>
              <w:top w:val="single" w:sz="4" w:space="0" w:color="auto"/>
              <w:left w:val="single" w:sz="4" w:space="0" w:color="auto"/>
              <w:bottom w:val="single" w:sz="4" w:space="0" w:color="auto"/>
              <w:right w:val="single" w:sz="4" w:space="0" w:color="auto"/>
            </w:tcBorders>
            <w:noWrap/>
            <w:hideMark/>
          </w:tcPr>
          <w:p w14:paraId="71F2BF49"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95 684,18 zł </w:t>
            </w:r>
          </w:p>
        </w:tc>
        <w:tc>
          <w:tcPr>
            <w:tcW w:w="1459" w:type="dxa"/>
            <w:tcBorders>
              <w:top w:val="single" w:sz="4" w:space="0" w:color="auto"/>
              <w:left w:val="single" w:sz="4" w:space="0" w:color="auto"/>
              <w:bottom w:val="single" w:sz="4" w:space="0" w:color="auto"/>
              <w:right w:val="single" w:sz="4" w:space="0" w:color="auto"/>
            </w:tcBorders>
            <w:noWrap/>
            <w:hideMark/>
          </w:tcPr>
          <w:p w14:paraId="08A1395A"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100 519,03 zł </w:t>
            </w:r>
          </w:p>
        </w:tc>
        <w:tc>
          <w:tcPr>
            <w:tcW w:w="1460" w:type="dxa"/>
            <w:tcBorders>
              <w:top w:val="single" w:sz="4" w:space="0" w:color="auto"/>
              <w:left w:val="single" w:sz="4" w:space="0" w:color="auto"/>
              <w:bottom w:val="single" w:sz="4" w:space="0" w:color="auto"/>
              <w:right w:val="single" w:sz="4" w:space="0" w:color="auto"/>
            </w:tcBorders>
            <w:noWrap/>
            <w:hideMark/>
          </w:tcPr>
          <w:p w14:paraId="2C21DF7A"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105 539,68 zł </w:t>
            </w:r>
          </w:p>
        </w:tc>
        <w:tc>
          <w:tcPr>
            <w:tcW w:w="1459" w:type="dxa"/>
            <w:tcBorders>
              <w:top w:val="single" w:sz="4" w:space="0" w:color="auto"/>
              <w:left w:val="single" w:sz="4" w:space="0" w:color="auto"/>
              <w:bottom w:val="single" w:sz="4" w:space="0" w:color="auto"/>
              <w:right w:val="single" w:sz="4" w:space="0" w:color="auto"/>
            </w:tcBorders>
            <w:noWrap/>
            <w:hideMark/>
          </w:tcPr>
          <w:p w14:paraId="2A87247D"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110 806,51 zł </w:t>
            </w:r>
          </w:p>
        </w:tc>
        <w:tc>
          <w:tcPr>
            <w:tcW w:w="1460" w:type="dxa"/>
            <w:tcBorders>
              <w:top w:val="single" w:sz="4" w:space="0" w:color="auto"/>
              <w:left w:val="single" w:sz="4" w:space="0" w:color="auto"/>
              <w:bottom w:val="single" w:sz="4" w:space="0" w:color="auto"/>
              <w:right w:val="single" w:sz="4" w:space="0" w:color="auto"/>
            </w:tcBorders>
            <w:noWrap/>
            <w:hideMark/>
          </w:tcPr>
          <w:p w14:paraId="1D8F88B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116 336,17 zł </w:t>
            </w:r>
          </w:p>
        </w:tc>
      </w:tr>
      <w:tr w:rsidR="003F5C1A" w14:paraId="7B3176AB" w14:textId="77777777" w:rsidTr="003F5C1A">
        <w:trPr>
          <w:trHeight w:val="392"/>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EF52B94" w14:textId="77777777" w:rsidR="003F5C1A" w:rsidRDefault="003F5C1A">
            <w:pPr>
              <w:spacing w:line="240" w:lineRule="auto"/>
              <w:rPr>
                <w:rFonts w:ascii="Times New Roman" w:hAnsi="Times New Roman"/>
                <w:lang w:eastAsia="pl-PL"/>
              </w:rPr>
            </w:pPr>
            <w:r>
              <w:rPr>
                <w:rFonts w:ascii="Times New Roman" w:hAnsi="Times New Roman"/>
                <w:lang w:eastAsia="pl-PL"/>
              </w:rPr>
              <w:t>PPK</w:t>
            </w:r>
          </w:p>
        </w:tc>
        <w:tc>
          <w:tcPr>
            <w:tcW w:w="1276" w:type="dxa"/>
            <w:tcBorders>
              <w:top w:val="single" w:sz="4" w:space="0" w:color="auto"/>
              <w:left w:val="single" w:sz="4" w:space="0" w:color="auto"/>
              <w:bottom w:val="single" w:sz="4" w:space="0" w:color="auto"/>
              <w:right w:val="single" w:sz="4" w:space="0" w:color="auto"/>
            </w:tcBorders>
            <w:noWrap/>
            <w:hideMark/>
          </w:tcPr>
          <w:p w14:paraId="0E9591DA" w14:textId="77777777" w:rsidR="003F5C1A" w:rsidRDefault="003F5C1A">
            <w:pPr>
              <w:spacing w:line="240" w:lineRule="auto"/>
              <w:rPr>
                <w:rFonts w:ascii="Times New Roman" w:hAnsi="Times New Roman"/>
                <w:lang w:eastAsia="pl-PL"/>
              </w:rPr>
            </w:pPr>
            <w:r>
              <w:rPr>
                <w:rFonts w:ascii="Times New Roman" w:hAnsi="Times New Roman"/>
                <w:lang w:eastAsia="pl-PL"/>
              </w:rPr>
              <w:t>2,00%</w:t>
            </w:r>
          </w:p>
        </w:tc>
        <w:tc>
          <w:tcPr>
            <w:tcW w:w="840" w:type="dxa"/>
            <w:tcBorders>
              <w:top w:val="single" w:sz="4" w:space="0" w:color="auto"/>
              <w:left w:val="single" w:sz="4" w:space="0" w:color="auto"/>
              <w:bottom w:val="single" w:sz="4" w:space="0" w:color="auto"/>
              <w:right w:val="single" w:sz="4" w:space="0" w:color="auto"/>
            </w:tcBorders>
            <w:noWrap/>
            <w:hideMark/>
          </w:tcPr>
          <w:p w14:paraId="1B091DCE" w14:textId="77777777" w:rsidR="003F5C1A" w:rsidRDefault="003F5C1A">
            <w:pPr>
              <w:spacing w:line="240" w:lineRule="auto"/>
              <w:rPr>
                <w:rFonts w:ascii="Times New Roman" w:hAnsi="Times New Roman"/>
                <w:lang w:eastAsia="pl-PL"/>
              </w:rPr>
            </w:pPr>
            <w:r>
              <w:rPr>
                <w:rFonts w:ascii="Times New Roman" w:hAnsi="Times New Roman"/>
                <w:lang w:eastAsia="pl-PL"/>
              </w:rPr>
              <w:t>21,5</w:t>
            </w:r>
          </w:p>
        </w:tc>
        <w:tc>
          <w:tcPr>
            <w:tcW w:w="1459" w:type="dxa"/>
            <w:tcBorders>
              <w:top w:val="single" w:sz="4" w:space="0" w:color="auto"/>
              <w:left w:val="single" w:sz="4" w:space="0" w:color="auto"/>
              <w:bottom w:val="single" w:sz="4" w:space="0" w:color="auto"/>
              <w:right w:val="single" w:sz="4" w:space="0" w:color="auto"/>
            </w:tcBorders>
            <w:noWrap/>
            <w:hideMark/>
          </w:tcPr>
          <w:p w14:paraId="47C937D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65 377,58 zł </w:t>
            </w:r>
          </w:p>
        </w:tc>
        <w:tc>
          <w:tcPr>
            <w:tcW w:w="1459" w:type="dxa"/>
            <w:tcBorders>
              <w:top w:val="single" w:sz="4" w:space="0" w:color="auto"/>
              <w:left w:val="single" w:sz="4" w:space="0" w:color="auto"/>
              <w:bottom w:val="single" w:sz="4" w:space="0" w:color="auto"/>
              <w:right w:val="single" w:sz="4" w:space="0" w:color="auto"/>
            </w:tcBorders>
            <w:noWrap/>
            <w:hideMark/>
          </w:tcPr>
          <w:p w14:paraId="0D70CC77"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74 311,39 zł </w:t>
            </w:r>
          </w:p>
        </w:tc>
        <w:tc>
          <w:tcPr>
            <w:tcW w:w="1460" w:type="dxa"/>
            <w:tcBorders>
              <w:top w:val="single" w:sz="4" w:space="0" w:color="auto"/>
              <w:left w:val="single" w:sz="4" w:space="0" w:color="auto"/>
              <w:bottom w:val="single" w:sz="4" w:space="0" w:color="auto"/>
              <w:right w:val="single" w:sz="4" w:space="0" w:color="auto"/>
            </w:tcBorders>
            <w:noWrap/>
            <w:hideMark/>
          </w:tcPr>
          <w:p w14:paraId="3B60A708"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78 109,53 zł </w:t>
            </w:r>
          </w:p>
        </w:tc>
        <w:tc>
          <w:tcPr>
            <w:tcW w:w="1459" w:type="dxa"/>
            <w:tcBorders>
              <w:top w:val="single" w:sz="4" w:space="0" w:color="auto"/>
              <w:left w:val="single" w:sz="4" w:space="0" w:color="auto"/>
              <w:bottom w:val="single" w:sz="4" w:space="0" w:color="auto"/>
              <w:right w:val="single" w:sz="4" w:space="0" w:color="auto"/>
            </w:tcBorders>
            <w:noWrap/>
            <w:hideMark/>
          </w:tcPr>
          <w:p w14:paraId="05F4A16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82 056,35 zł </w:t>
            </w:r>
          </w:p>
        </w:tc>
        <w:tc>
          <w:tcPr>
            <w:tcW w:w="1460" w:type="dxa"/>
            <w:tcBorders>
              <w:top w:val="single" w:sz="4" w:space="0" w:color="auto"/>
              <w:left w:val="single" w:sz="4" w:space="0" w:color="auto"/>
              <w:bottom w:val="single" w:sz="4" w:space="0" w:color="auto"/>
              <w:right w:val="single" w:sz="4" w:space="0" w:color="auto"/>
            </w:tcBorders>
            <w:noWrap/>
            <w:hideMark/>
          </w:tcPr>
          <w:p w14:paraId="14E1529A"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86 154,84 zł </w:t>
            </w:r>
          </w:p>
        </w:tc>
        <w:tc>
          <w:tcPr>
            <w:tcW w:w="1459" w:type="dxa"/>
            <w:tcBorders>
              <w:top w:val="single" w:sz="4" w:space="0" w:color="auto"/>
              <w:left w:val="single" w:sz="4" w:space="0" w:color="auto"/>
              <w:bottom w:val="single" w:sz="4" w:space="0" w:color="auto"/>
              <w:right w:val="single" w:sz="4" w:space="0" w:color="auto"/>
            </w:tcBorders>
            <w:noWrap/>
            <w:hideMark/>
          </w:tcPr>
          <w:p w14:paraId="232A916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90 454,29 zł </w:t>
            </w:r>
          </w:p>
        </w:tc>
        <w:tc>
          <w:tcPr>
            <w:tcW w:w="1460" w:type="dxa"/>
            <w:tcBorders>
              <w:top w:val="single" w:sz="4" w:space="0" w:color="auto"/>
              <w:left w:val="single" w:sz="4" w:space="0" w:color="auto"/>
              <w:bottom w:val="single" w:sz="4" w:space="0" w:color="auto"/>
              <w:right w:val="single" w:sz="4" w:space="0" w:color="auto"/>
            </w:tcBorders>
            <w:noWrap/>
            <w:hideMark/>
          </w:tcPr>
          <w:p w14:paraId="3319ADE8"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94 968,30 zł </w:t>
            </w:r>
          </w:p>
        </w:tc>
      </w:tr>
      <w:tr w:rsidR="003F5C1A" w14:paraId="6529D405" w14:textId="77777777" w:rsidTr="003F5C1A">
        <w:trPr>
          <w:trHeight w:val="396"/>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272B6" w14:textId="77777777" w:rsidR="003F5C1A" w:rsidRDefault="003F5C1A">
            <w:pPr>
              <w:spacing w:line="240" w:lineRule="auto"/>
              <w:rPr>
                <w:rFonts w:ascii="Times New Roman" w:hAnsi="Times New Roman"/>
                <w:lang w:eastAsia="pl-PL"/>
              </w:rPr>
            </w:pPr>
            <w:r>
              <w:rPr>
                <w:rFonts w:ascii="Times New Roman" w:hAnsi="Times New Roman"/>
                <w:lang w:eastAsia="pl-PL"/>
              </w:rPr>
              <w:t>biurko, fotel, szafa</w:t>
            </w:r>
          </w:p>
        </w:tc>
        <w:tc>
          <w:tcPr>
            <w:tcW w:w="1276" w:type="dxa"/>
            <w:tcBorders>
              <w:top w:val="single" w:sz="4" w:space="0" w:color="auto"/>
              <w:left w:val="single" w:sz="4" w:space="0" w:color="auto"/>
              <w:bottom w:val="single" w:sz="4" w:space="0" w:color="auto"/>
              <w:right w:val="single" w:sz="4" w:space="0" w:color="auto"/>
            </w:tcBorders>
            <w:noWrap/>
            <w:hideMark/>
          </w:tcPr>
          <w:p w14:paraId="7A177BDE" w14:textId="77777777" w:rsidR="003F5C1A" w:rsidRDefault="003F5C1A">
            <w:pPr>
              <w:spacing w:line="240" w:lineRule="auto"/>
              <w:rPr>
                <w:rFonts w:ascii="Times New Roman" w:hAnsi="Times New Roman"/>
                <w:lang w:eastAsia="pl-PL"/>
              </w:rPr>
            </w:pPr>
            <w:r>
              <w:rPr>
                <w:rFonts w:ascii="Times New Roman" w:hAnsi="Times New Roman"/>
                <w:lang w:eastAsia="pl-PL"/>
              </w:rPr>
              <w:t xml:space="preserve">5 000,00 zł </w:t>
            </w:r>
          </w:p>
        </w:tc>
        <w:tc>
          <w:tcPr>
            <w:tcW w:w="840" w:type="dxa"/>
            <w:tcBorders>
              <w:top w:val="single" w:sz="4" w:space="0" w:color="auto"/>
              <w:left w:val="single" w:sz="4" w:space="0" w:color="auto"/>
              <w:bottom w:val="single" w:sz="4" w:space="0" w:color="auto"/>
              <w:right w:val="single" w:sz="4" w:space="0" w:color="auto"/>
            </w:tcBorders>
            <w:noWrap/>
            <w:hideMark/>
          </w:tcPr>
          <w:p w14:paraId="71F7E5FC" w14:textId="77777777" w:rsidR="003F5C1A" w:rsidRDefault="003F5C1A">
            <w:pPr>
              <w:spacing w:line="240" w:lineRule="auto"/>
              <w:rPr>
                <w:rFonts w:ascii="Times New Roman" w:hAnsi="Times New Roman"/>
                <w:lang w:eastAsia="pl-PL"/>
              </w:rPr>
            </w:pPr>
            <w:r>
              <w:rPr>
                <w:rFonts w:ascii="Times New Roman" w:hAnsi="Times New Roman"/>
                <w:lang w:eastAsia="pl-PL"/>
              </w:rPr>
              <w:t>21,5</w:t>
            </w:r>
          </w:p>
        </w:tc>
        <w:tc>
          <w:tcPr>
            <w:tcW w:w="1459" w:type="dxa"/>
            <w:tcBorders>
              <w:top w:val="single" w:sz="4" w:space="0" w:color="auto"/>
              <w:left w:val="single" w:sz="4" w:space="0" w:color="auto"/>
              <w:bottom w:val="single" w:sz="4" w:space="0" w:color="auto"/>
              <w:right w:val="single" w:sz="4" w:space="0" w:color="auto"/>
            </w:tcBorders>
            <w:noWrap/>
            <w:hideMark/>
          </w:tcPr>
          <w:p w14:paraId="4E3EFBF1"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107 500,00 zł </w:t>
            </w:r>
          </w:p>
        </w:tc>
        <w:tc>
          <w:tcPr>
            <w:tcW w:w="1459" w:type="dxa"/>
            <w:tcBorders>
              <w:top w:val="single" w:sz="4" w:space="0" w:color="auto"/>
              <w:left w:val="single" w:sz="4" w:space="0" w:color="auto"/>
              <w:bottom w:val="single" w:sz="4" w:space="0" w:color="auto"/>
              <w:right w:val="single" w:sz="4" w:space="0" w:color="auto"/>
            </w:tcBorders>
            <w:noWrap/>
            <w:hideMark/>
          </w:tcPr>
          <w:p w14:paraId="61542F14"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60" w:type="dxa"/>
            <w:tcBorders>
              <w:top w:val="single" w:sz="4" w:space="0" w:color="auto"/>
              <w:left w:val="single" w:sz="4" w:space="0" w:color="auto"/>
              <w:bottom w:val="single" w:sz="4" w:space="0" w:color="auto"/>
              <w:right w:val="single" w:sz="4" w:space="0" w:color="auto"/>
            </w:tcBorders>
            <w:noWrap/>
            <w:hideMark/>
          </w:tcPr>
          <w:p w14:paraId="759F0CFF"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59" w:type="dxa"/>
            <w:tcBorders>
              <w:top w:val="single" w:sz="4" w:space="0" w:color="auto"/>
              <w:left w:val="single" w:sz="4" w:space="0" w:color="auto"/>
              <w:bottom w:val="single" w:sz="4" w:space="0" w:color="auto"/>
              <w:right w:val="single" w:sz="4" w:space="0" w:color="auto"/>
            </w:tcBorders>
            <w:noWrap/>
            <w:hideMark/>
          </w:tcPr>
          <w:p w14:paraId="71C280B4"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60" w:type="dxa"/>
            <w:tcBorders>
              <w:top w:val="single" w:sz="4" w:space="0" w:color="auto"/>
              <w:left w:val="single" w:sz="4" w:space="0" w:color="auto"/>
              <w:bottom w:val="single" w:sz="4" w:space="0" w:color="auto"/>
              <w:right w:val="single" w:sz="4" w:space="0" w:color="auto"/>
            </w:tcBorders>
            <w:noWrap/>
            <w:hideMark/>
          </w:tcPr>
          <w:p w14:paraId="4DD07326"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59" w:type="dxa"/>
            <w:tcBorders>
              <w:top w:val="single" w:sz="4" w:space="0" w:color="auto"/>
              <w:left w:val="single" w:sz="4" w:space="0" w:color="auto"/>
              <w:bottom w:val="single" w:sz="4" w:space="0" w:color="auto"/>
              <w:right w:val="single" w:sz="4" w:space="0" w:color="auto"/>
            </w:tcBorders>
            <w:noWrap/>
            <w:hideMark/>
          </w:tcPr>
          <w:p w14:paraId="50DE5916"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60" w:type="dxa"/>
            <w:tcBorders>
              <w:top w:val="single" w:sz="4" w:space="0" w:color="auto"/>
              <w:left w:val="single" w:sz="4" w:space="0" w:color="auto"/>
              <w:bottom w:val="single" w:sz="4" w:space="0" w:color="auto"/>
              <w:right w:val="single" w:sz="4" w:space="0" w:color="auto"/>
            </w:tcBorders>
            <w:noWrap/>
            <w:hideMark/>
          </w:tcPr>
          <w:p w14:paraId="7D0C8A7D"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r>
      <w:tr w:rsidR="003F5C1A" w14:paraId="39A419A8" w14:textId="77777777" w:rsidTr="003F5C1A">
        <w:trPr>
          <w:trHeight w:val="414"/>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B7B257" w14:textId="77777777" w:rsidR="003F5C1A" w:rsidRDefault="003F5C1A">
            <w:pPr>
              <w:spacing w:line="240" w:lineRule="auto"/>
              <w:rPr>
                <w:rFonts w:ascii="Times New Roman" w:hAnsi="Times New Roman"/>
                <w:lang w:eastAsia="pl-PL"/>
              </w:rPr>
            </w:pPr>
            <w:r>
              <w:rPr>
                <w:rFonts w:ascii="Times New Roman" w:hAnsi="Times New Roman"/>
                <w:lang w:eastAsia="pl-PL"/>
              </w:rPr>
              <w:t>komputer</w:t>
            </w:r>
          </w:p>
        </w:tc>
        <w:tc>
          <w:tcPr>
            <w:tcW w:w="1276" w:type="dxa"/>
            <w:tcBorders>
              <w:top w:val="single" w:sz="4" w:space="0" w:color="auto"/>
              <w:left w:val="single" w:sz="4" w:space="0" w:color="auto"/>
              <w:bottom w:val="single" w:sz="4" w:space="0" w:color="auto"/>
              <w:right w:val="single" w:sz="4" w:space="0" w:color="auto"/>
            </w:tcBorders>
            <w:noWrap/>
            <w:hideMark/>
          </w:tcPr>
          <w:p w14:paraId="72416402" w14:textId="77777777" w:rsidR="003F5C1A" w:rsidRDefault="003F5C1A">
            <w:pPr>
              <w:spacing w:line="240" w:lineRule="auto"/>
              <w:rPr>
                <w:rFonts w:ascii="Times New Roman" w:hAnsi="Times New Roman"/>
                <w:lang w:eastAsia="pl-PL"/>
              </w:rPr>
            </w:pPr>
            <w:r>
              <w:rPr>
                <w:rFonts w:ascii="Times New Roman" w:hAnsi="Times New Roman"/>
                <w:lang w:eastAsia="pl-PL"/>
              </w:rPr>
              <w:t xml:space="preserve">6 000,00 zł </w:t>
            </w:r>
          </w:p>
        </w:tc>
        <w:tc>
          <w:tcPr>
            <w:tcW w:w="840" w:type="dxa"/>
            <w:tcBorders>
              <w:top w:val="single" w:sz="4" w:space="0" w:color="auto"/>
              <w:left w:val="single" w:sz="4" w:space="0" w:color="auto"/>
              <w:bottom w:val="single" w:sz="4" w:space="0" w:color="auto"/>
              <w:right w:val="single" w:sz="4" w:space="0" w:color="auto"/>
            </w:tcBorders>
            <w:noWrap/>
            <w:hideMark/>
          </w:tcPr>
          <w:p w14:paraId="51A6879A" w14:textId="77777777" w:rsidR="003F5C1A" w:rsidRDefault="003F5C1A">
            <w:pPr>
              <w:spacing w:line="240" w:lineRule="auto"/>
              <w:rPr>
                <w:rFonts w:ascii="Times New Roman" w:hAnsi="Times New Roman"/>
                <w:lang w:eastAsia="pl-PL"/>
              </w:rPr>
            </w:pPr>
            <w:r>
              <w:rPr>
                <w:rFonts w:ascii="Times New Roman" w:hAnsi="Times New Roman"/>
                <w:lang w:eastAsia="pl-PL"/>
              </w:rPr>
              <w:t>21,5</w:t>
            </w:r>
          </w:p>
        </w:tc>
        <w:tc>
          <w:tcPr>
            <w:tcW w:w="1459" w:type="dxa"/>
            <w:tcBorders>
              <w:top w:val="single" w:sz="4" w:space="0" w:color="auto"/>
              <w:left w:val="single" w:sz="4" w:space="0" w:color="auto"/>
              <w:bottom w:val="single" w:sz="4" w:space="0" w:color="auto"/>
              <w:right w:val="single" w:sz="4" w:space="0" w:color="auto"/>
            </w:tcBorders>
            <w:noWrap/>
            <w:hideMark/>
          </w:tcPr>
          <w:p w14:paraId="7CAD07EB"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129 000,00 zł </w:t>
            </w:r>
          </w:p>
        </w:tc>
        <w:tc>
          <w:tcPr>
            <w:tcW w:w="1459" w:type="dxa"/>
            <w:tcBorders>
              <w:top w:val="single" w:sz="4" w:space="0" w:color="auto"/>
              <w:left w:val="single" w:sz="4" w:space="0" w:color="auto"/>
              <w:bottom w:val="single" w:sz="4" w:space="0" w:color="auto"/>
              <w:right w:val="single" w:sz="4" w:space="0" w:color="auto"/>
            </w:tcBorders>
            <w:noWrap/>
            <w:hideMark/>
          </w:tcPr>
          <w:p w14:paraId="1515AE92"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60" w:type="dxa"/>
            <w:tcBorders>
              <w:top w:val="single" w:sz="4" w:space="0" w:color="auto"/>
              <w:left w:val="single" w:sz="4" w:space="0" w:color="auto"/>
              <w:bottom w:val="single" w:sz="4" w:space="0" w:color="auto"/>
              <w:right w:val="single" w:sz="4" w:space="0" w:color="auto"/>
            </w:tcBorders>
            <w:noWrap/>
            <w:hideMark/>
          </w:tcPr>
          <w:p w14:paraId="7BD6D59A"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59" w:type="dxa"/>
            <w:tcBorders>
              <w:top w:val="single" w:sz="4" w:space="0" w:color="auto"/>
              <w:left w:val="single" w:sz="4" w:space="0" w:color="auto"/>
              <w:bottom w:val="single" w:sz="4" w:space="0" w:color="auto"/>
              <w:right w:val="single" w:sz="4" w:space="0" w:color="auto"/>
            </w:tcBorders>
            <w:noWrap/>
            <w:hideMark/>
          </w:tcPr>
          <w:p w14:paraId="7BCD687B"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60" w:type="dxa"/>
            <w:tcBorders>
              <w:top w:val="single" w:sz="4" w:space="0" w:color="auto"/>
              <w:left w:val="single" w:sz="4" w:space="0" w:color="auto"/>
              <w:bottom w:val="single" w:sz="4" w:space="0" w:color="auto"/>
              <w:right w:val="single" w:sz="4" w:space="0" w:color="auto"/>
            </w:tcBorders>
            <w:noWrap/>
            <w:hideMark/>
          </w:tcPr>
          <w:p w14:paraId="122E3A7C"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59" w:type="dxa"/>
            <w:tcBorders>
              <w:top w:val="single" w:sz="4" w:space="0" w:color="auto"/>
              <w:left w:val="single" w:sz="4" w:space="0" w:color="auto"/>
              <w:bottom w:val="single" w:sz="4" w:space="0" w:color="auto"/>
              <w:right w:val="single" w:sz="4" w:space="0" w:color="auto"/>
            </w:tcBorders>
            <w:noWrap/>
            <w:hideMark/>
          </w:tcPr>
          <w:p w14:paraId="12866E02"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c>
          <w:tcPr>
            <w:tcW w:w="1460" w:type="dxa"/>
            <w:tcBorders>
              <w:top w:val="single" w:sz="4" w:space="0" w:color="auto"/>
              <w:left w:val="single" w:sz="4" w:space="0" w:color="auto"/>
              <w:bottom w:val="single" w:sz="4" w:space="0" w:color="auto"/>
              <w:right w:val="single" w:sz="4" w:space="0" w:color="auto"/>
            </w:tcBorders>
            <w:noWrap/>
            <w:hideMark/>
          </w:tcPr>
          <w:p w14:paraId="4A36F6BA" w14:textId="77777777" w:rsidR="003F5C1A" w:rsidRDefault="003F5C1A">
            <w:pPr>
              <w:spacing w:line="240" w:lineRule="auto"/>
              <w:jc w:val="right"/>
              <w:rPr>
                <w:rFonts w:ascii="Times New Roman" w:hAnsi="Times New Roman"/>
                <w:lang w:eastAsia="pl-PL"/>
              </w:rPr>
            </w:pPr>
            <w:r>
              <w:rPr>
                <w:rFonts w:ascii="Times New Roman" w:hAnsi="Times New Roman"/>
                <w:lang w:eastAsia="pl-PL"/>
              </w:rPr>
              <w:t xml:space="preserve">0 zł </w:t>
            </w:r>
          </w:p>
        </w:tc>
      </w:tr>
      <w:tr w:rsidR="003F5C1A" w14:paraId="3F71780B" w14:textId="77777777" w:rsidTr="003F5C1A">
        <w:trPr>
          <w:trHeight w:val="588"/>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7924EF"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SUMA</w:t>
            </w:r>
          </w:p>
        </w:tc>
        <w:tc>
          <w:tcPr>
            <w:tcW w:w="1276" w:type="dxa"/>
            <w:tcBorders>
              <w:top w:val="single" w:sz="4" w:space="0" w:color="auto"/>
              <w:left w:val="single" w:sz="4" w:space="0" w:color="auto"/>
              <w:bottom w:val="single" w:sz="4" w:space="0" w:color="auto"/>
              <w:right w:val="single" w:sz="4" w:space="0" w:color="auto"/>
            </w:tcBorders>
            <w:noWrap/>
            <w:hideMark/>
          </w:tcPr>
          <w:p w14:paraId="2D8ADC09"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 </w:t>
            </w:r>
          </w:p>
        </w:tc>
        <w:tc>
          <w:tcPr>
            <w:tcW w:w="840" w:type="dxa"/>
            <w:tcBorders>
              <w:top w:val="single" w:sz="4" w:space="0" w:color="auto"/>
              <w:left w:val="single" w:sz="4" w:space="0" w:color="auto"/>
              <w:bottom w:val="single" w:sz="4" w:space="0" w:color="auto"/>
              <w:right w:val="single" w:sz="4" w:space="0" w:color="auto"/>
            </w:tcBorders>
            <w:noWrap/>
            <w:hideMark/>
          </w:tcPr>
          <w:p w14:paraId="43281EBC"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 </w:t>
            </w:r>
          </w:p>
        </w:tc>
        <w:tc>
          <w:tcPr>
            <w:tcW w:w="1459" w:type="dxa"/>
            <w:tcBorders>
              <w:top w:val="single" w:sz="4" w:space="0" w:color="auto"/>
              <w:left w:val="single" w:sz="4" w:space="0" w:color="auto"/>
              <w:bottom w:val="single" w:sz="4" w:space="0" w:color="auto"/>
              <w:right w:val="single" w:sz="4" w:space="0" w:color="auto"/>
            </w:tcBorders>
            <w:noWrap/>
            <w:hideMark/>
          </w:tcPr>
          <w:p w14:paraId="752FE77D" w14:textId="77777777" w:rsidR="003F5C1A" w:rsidRDefault="003F5C1A">
            <w:pPr>
              <w:spacing w:line="240" w:lineRule="auto"/>
              <w:jc w:val="right"/>
              <w:rPr>
                <w:rFonts w:ascii="Times New Roman" w:hAnsi="Times New Roman"/>
                <w:b/>
                <w:bCs/>
                <w:lang w:eastAsia="pl-PL"/>
              </w:rPr>
            </w:pPr>
            <w:r>
              <w:rPr>
                <w:rFonts w:ascii="Times New Roman" w:hAnsi="Times New Roman"/>
                <w:b/>
                <w:bCs/>
                <w:lang w:eastAsia="pl-PL"/>
              </w:rPr>
              <w:t xml:space="preserve">4 212 764,25 zł </w:t>
            </w:r>
          </w:p>
        </w:tc>
        <w:tc>
          <w:tcPr>
            <w:tcW w:w="1459" w:type="dxa"/>
            <w:tcBorders>
              <w:top w:val="single" w:sz="4" w:space="0" w:color="auto"/>
              <w:left w:val="single" w:sz="4" w:space="0" w:color="auto"/>
              <w:bottom w:val="single" w:sz="4" w:space="0" w:color="auto"/>
              <w:right w:val="single" w:sz="4" w:space="0" w:color="auto"/>
            </w:tcBorders>
            <w:noWrap/>
            <w:hideMark/>
          </w:tcPr>
          <w:p w14:paraId="49D09468"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 xml:space="preserve">4 519 618,94 zł </w:t>
            </w:r>
          </w:p>
        </w:tc>
        <w:tc>
          <w:tcPr>
            <w:tcW w:w="1460" w:type="dxa"/>
            <w:tcBorders>
              <w:top w:val="single" w:sz="4" w:space="0" w:color="auto"/>
              <w:left w:val="single" w:sz="4" w:space="0" w:color="auto"/>
              <w:bottom w:val="single" w:sz="4" w:space="0" w:color="auto"/>
              <w:right w:val="single" w:sz="4" w:space="0" w:color="auto"/>
            </w:tcBorders>
            <w:noWrap/>
            <w:hideMark/>
          </w:tcPr>
          <w:p w14:paraId="61DA2622" w14:textId="77777777" w:rsidR="003F5C1A" w:rsidRDefault="003F5C1A">
            <w:pPr>
              <w:spacing w:line="240" w:lineRule="auto"/>
              <w:jc w:val="right"/>
              <w:rPr>
                <w:rFonts w:ascii="Times New Roman" w:hAnsi="Times New Roman"/>
                <w:b/>
                <w:bCs/>
                <w:lang w:eastAsia="pl-PL"/>
              </w:rPr>
            </w:pPr>
            <w:r>
              <w:rPr>
                <w:rFonts w:ascii="Times New Roman" w:hAnsi="Times New Roman"/>
                <w:b/>
                <w:bCs/>
                <w:lang w:eastAsia="pl-PL"/>
              </w:rPr>
              <w:t xml:space="preserve">4 750 621,78 zł </w:t>
            </w:r>
          </w:p>
        </w:tc>
        <w:tc>
          <w:tcPr>
            <w:tcW w:w="1459" w:type="dxa"/>
            <w:tcBorders>
              <w:top w:val="single" w:sz="4" w:space="0" w:color="auto"/>
              <w:left w:val="single" w:sz="4" w:space="0" w:color="auto"/>
              <w:bottom w:val="single" w:sz="4" w:space="0" w:color="auto"/>
              <w:right w:val="single" w:sz="4" w:space="0" w:color="auto"/>
            </w:tcBorders>
            <w:noWrap/>
            <w:hideMark/>
          </w:tcPr>
          <w:p w14:paraId="08F5C3B7" w14:textId="77777777" w:rsidR="003F5C1A" w:rsidRDefault="003F5C1A">
            <w:pPr>
              <w:spacing w:line="240" w:lineRule="auto"/>
              <w:jc w:val="right"/>
              <w:rPr>
                <w:rFonts w:ascii="Times New Roman" w:hAnsi="Times New Roman"/>
                <w:b/>
                <w:bCs/>
                <w:lang w:eastAsia="pl-PL"/>
              </w:rPr>
            </w:pPr>
            <w:r>
              <w:rPr>
                <w:rFonts w:ascii="Times New Roman" w:hAnsi="Times New Roman"/>
                <w:b/>
                <w:bCs/>
                <w:lang w:eastAsia="pl-PL"/>
              </w:rPr>
              <w:t xml:space="preserve">4 990 667,03 zł </w:t>
            </w:r>
          </w:p>
        </w:tc>
        <w:tc>
          <w:tcPr>
            <w:tcW w:w="1460" w:type="dxa"/>
            <w:tcBorders>
              <w:top w:val="single" w:sz="4" w:space="0" w:color="auto"/>
              <w:left w:val="single" w:sz="4" w:space="0" w:color="auto"/>
              <w:bottom w:val="single" w:sz="4" w:space="0" w:color="auto"/>
              <w:right w:val="single" w:sz="4" w:space="0" w:color="auto"/>
            </w:tcBorders>
            <w:noWrap/>
            <w:hideMark/>
          </w:tcPr>
          <w:p w14:paraId="57620365" w14:textId="77777777" w:rsidR="003F5C1A" w:rsidRDefault="003F5C1A">
            <w:pPr>
              <w:spacing w:line="240" w:lineRule="auto"/>
              <w:jc w:val="right"/>
              <w:rPr>
                <w:rFonts w:ascii="Times New Roman" w:hAnsi="Times New Roman"/>
                <w:b/>
                <w:bCs/>
                <w:lang w:eastAsia="pl-PL"/>
              </w:rPr>
            </w:pPr>
            <w:r>
              <w:rPr>
                <w:rFonts w:ascii="Times New Roman" w:hAnsi="Times New Roman"/>
                <w:b/>
                <w:bCs/>
                <w:lang w:eastAsia="pl-PL"/>
              </w:rPr>
              <w:t xml:space="preserve">5 239 937,49 zł </w:t>
            </w:r>
          </w:p>
        </w:tc>
        <w:tc>
          <w:tcPr>
            <w:tcW w:w="1459" w:type="dxa"/>
            <w:tcBorders>
              <w:top w:val="single" w:sz="4" w:space="0" w:color="auto"/>
              <w:left w:val="single" w:sz="4" w:space="0" w:color="auto"/>
              <w:bottom w:val="single" w:sz="4" w:space="0" w:color="auto"/>
              <w:right w:val="single" w:sz="4" w:space="0" w:color="auto"/>
            </w:tcBorders>
            <w:noWrap/>
            <w:hideMark/>
          </w:tcPr>
          <w:p w14:paraId="66291135" w14:textId="77777777" w:rsidR="003F5C1A" w:rsidRDefault="003F5C1A">
            <w:pPr>
              <w:spacing w:line="240" w:lineRule="auto"/>
              <w:jc w:val="right"/>
              <w:rPr>
                <w:rFonts w:ascii="Times New Roman" w:hAnsi="Times New Roman"/>
                <w:b/>
                <w:bCs/>
                <w:lang w:eastAsia="pl-PL"/>
              </w:rPr>
            </w:pPr>
            <w:r>
              <w:rPr>
                <w:rFonts w:ascii="Times New Roman" w:hAnsi="Times New Roman"/>
                <w:b/>
                <w:bCs/>
                <w:lang w:eastAsia="pl-PL"/>
              </w:rPr>
              <w:t xml:space="preserve">5 501 430,07 zł </w:t>
            </w:r>
          </w:p>
        </w:tc>
        <w:tc>
          <w:tcPr>
            <w:tcW w:w="1460" w:type="dxa"/>
            <w:tcBorders>
              <w:top w:val="single" w:sz="4" w:space="0" w:color="auto"/>
              <w:left w:val="single" w:sz="4" w:space="0" w:color="auto"/>
              <w:bottom w:val="single" w:sz="4" w:space="0" w:color="auto"/>
              <w:right w:val="single" w:sz="4" w:space="0" w:color="auto"/>
            </w:tcBorders>
            <w:noWrap/>
            <w:hideMark/>
          </w:tcPr>
          <w:p w14:paraId="5085FE16" w14:textId="77777777" w:rsidR="003F5C1A" w:rsidRDefault="003F5C1A">
            <w:pPr>
              <w:spacing w:line="240" w:lineRule="auto"/>
              <w:jc w:val="right"/>
              <w:rPr>
                <w:rFonts w:ascii="Times New Roman" w:hAnsi="Times New Roman"/>
                <w:b/>
                <w:bCs/>
                <w:lang w:eastAsia="pl-PL"/>
              </w:rPr>
            </w:pPr>
            <w:r>
              <w:rPr>
                <w:rFonts w:ascii="Times New Roman" w:hAnsi="Times New Roman"/>
                <w:b/>
                <w:bCs/>
                <w:lang w:eastAsia="pl-PL"/>
              </w:rPr>
              <w:t xml:space="preserve">5 775 972,12 zł </w:t>
            </w:r>
          </w:p>
        </w:tc>
      </w:tr>
    </w:tbl>
    <w:p w14:paraId="7F1726F8" w14:textId="77777777" w:rsidR="003F5C1A" w:rsidRDefault="003F5C1A" w:rsidP="003F5C1A">
      <w:pPr>
        <w:spacing w:line="240" w:lineRule="auto"/>
        <w:jc w:val="both"/>
        <w:rPr>
          <w:rFonts w:ascii="Times New Roman" w:hAnsi="Times New Roman" w:cstheme="minorBidi"/>
          <w:kern w:val="2"/>
          <w:lang w:eastAsia="en-GB"/>
          <w14:ligatures w14:val="standardContextual"/>
        </w:rPr>
      </w:pPr>
    </w:p>
    <w:p w14:paraId="363EE44B" w14:textId="77777777" w:rsidR="003F5C1A" w:rsidRDefault="003F5C1A" w:rsidP="003F5C1A">
      <w:pPr>
        <w:spacing w:line="240" w:lineRule="auto"/>
        <w:jc w:val="both"/>
        <w:rPr>
          <w:rFonts w:ascii="Times New Roman" w:hAnsi="Times New Roman"/>
          <w:lang w:eastAsia="en-GB"/>
        </w:rPr>
      </w:pPr>
      <w:r>
        <w:rPr>
          <w:rFonts w:ascii="Times New Roman" w:hAnsi="Times New Roman"/>
          <w:lang w:eastAsia="en-GB"/>
        </w:rPr>
        <w:t>Koszt etatów w Głównym Inspektoracie Ochrony Środowiska (część budżetowa 51)</w:t>
      </w:r>
    </w:p>
    <w:tbl>
      <w:tblPr>
        <w:tblStyle w:val="Tabela-Siatka"/>
        <w:tblW w:w="14400" w:type="dxa"/>
        <w:tblLayout w:type="fixed"/>
        <w:tblLook w:val="04A0" w:firstRow="1" w:lastRow="0" w:firstColumn="1" w:lastColumn="0" w:noHBand="0" w:noVBand="1"/>
      </w:tblPr>
      <w:tblGrid>
        <w:gridCol w:w="1559"/>
        <w:gridCol w:w="1269"/>
        <w:gridCol w:w="839"/>
        <w:gridCol w:w="1532"/>
        <w:gridCol w:w="1533"/>
        <w:gridCol w:w="1534"/>
        <w:gridCol w:w="1533"/>
        <w:gridCol w:w="1534"/>
        <w:gridCol w:w="1533"/>
        <w:gridCol w:w="1534"/>
      </w:tblGrid>
      <w:tr w:rsidR="003F5C1A" w14:paraId="253F0AC7" w14:textId="77777777" w:rsidTr="003F5C1A">
        <w:trPr>
          <w:trHeight w:val="26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5C8CFD0"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Nazwa </w:t>
            </w:r>
          </w:p>
        </w:tc>
        <w:tc>
          <w:tcPr>
            <w:tcW w:w="1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3D92BBE"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 zł</w:t>
            </w:r>
          </w:p>
        </w:tc>
        <w:tc>
          <w:tcPr>
            <w:tcW w:w="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D6FCEF2"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liczba etatów</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562F93A"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2030</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0FFDB58"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2031</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28E9E6D"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2032</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460A52C"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2033</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AAD6033"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2034</w:t>
            </w:r>
          </w:p>
        </w:tc>
        <w:tc>
          <w:tcPr>
            <w:tcW w:w="1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8506ED9"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2035</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B9715E" w14:textId="77777777" w:rsidR="003F5C1A" w:rsidRDefault="003F5C1A">
            <w:pPr>
              <w:spacing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2036</w:t>
            </w:r>
          </w:p>
        </w:tc>
      </w:tr>
      <w:tr w:rsidR="003F5C1A" w14:paraId="32EAF295" w14:textId="77777777" w:rsidTr="003F5C1A">
        <w:trPr>
          <w:trHeight w:val="343"/>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D2FC8" w14:textId="77777777" w:rsidR="003F5C1A" w:rsidRDefault="003F5C1A">
            <w:pPr>
              <w:spacing w:line="240" w:lineRule="auto"/>
              <w:rPr>
                <w:rFonts w:ascii="Times New Roman" w:eastAsia="Times New Roman" w:hAnsi="Times New Roman"/>
                <w:color w:val="000000"/>
                <w:lang w:eastAsia="pl-PL"/>
              </w:rPr>
            </w:pPr>
            <w:r>
              <w:rPr>
                <w:rFonts w:ascii="Times New Roman" w:eastAsia="Times New Roman" w:hAnsi="Times New Roman"/>
                <w:color w:val="000000"/>
                <w:lang w:eastAsia="pl-PL"/>
              </w:rPr>
              <w:t xml:space="preserve">wynagrodzenie zasadnicze </w:t>
            </w:r>
          </w:p>
        </w:tc>
        <w:tc>
          <w:tcPr>
            <w:tcW w:w="1270" w:type="dxa"/>
            <w:tcBorders>
              <w:top w:val="single" w:sz="4" w:space="0" w:color="auto"/>
              <w:left w:val="single" w:sz="4" w:space="0" w:color="auto"/>
              <w:bottom w:val="single" w:sz="4" w:space="0" w:color="auto"/>
              <w:right w:val="single" w:sz="4" w:space="0" w:color="auto"/>
            </w:tcBorders>
            <w:noWrap/>
            <w:hideMark/>
          </w:tcPr>
          <w:p w14:paraId="096F1467"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w:t>
            </w:r>
          </w:p>
        </w:tc>
        <w:tc>
          <w:tcPr>
            <w:tcW w:w="840" w:type="dxa"/>
            <w:tcBorders>
              <w:top w:val="single" w:sz="4" w:space="0" w:color="auto"/>
              <w:left w:val="single" w:sz="4" w:space="0" w:color="auto"/>
              <w:bottom w:val="single" w:sz="4" w:space="0" w:color="auto"/>
              <w:right w:val="single" w:sz="4" w:space="0" w:color="auto"/>
            </w:tcBorders>
            <w:noWrap/>
            <w:hideMark/>
          </w:tcPr>
          <w:p w14:paraId="056E79EE"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w:t>
            </w:r>
          </w:p>
        </w:tc>
        <w:tc>
          <w:tcPr>
            <w:tcW w:w="1533" w:type="dxa"/>
            <w:tcBorders>
              <w:top w:val="single" w:sz="4" w:space="0" w:color="auto"/>
              <w:left w:val="single" w:sz="4" w:space="0" w:color="auto"/>
              <w:bottom w:val="single" w:sz="4" w:space="0" w:color="auto"/>
              <w:right w:val="single" w:sz="4" w:space="0" w:color="auto"/>
            </w:tcBorders>
            <w:noWrap/>
            <w:hideMark/>
          </w:tcPr>
          <w:p w14:paraId="7A485003"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304 081,75 zł </w:t>
            </w:r>
          </w:p>
        </w:tc>
        <w:tc>
          <w:tcPr>
            <w:tcW w:w="1533" w:type="dxa"/>
            <w:tcBorders>
              <w:top w:val="single" w:sz="4" w:space="0" w:color="auto"/>
              <w:left w:val="single" w:sz="4" w:space="0" w:color="auto"/>
              <w:bottom w:val="single" w:sz="4" w:space="0" w:color="auto"/>
              <w:right w:val="single" w:sz="4" w:space="0" w:color="auto"/>
            </w:tcBorders>
            <w:noWrap/>
            <w:hideMark/>
          </w:tcPr>
          <w:p w14:paraId="433277E7"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319 787,44 zł </w:t>
            </w:r>
          </w:p>
        </w:tc>
        <w:tc>
          <w:tcPr>
            <w:tcW w:w="1534" w:type="dxa"/>
            <w:tcBorders>
              <w:top w:val="single" w:sz="4" w:space="0" w:color="auto"/>
              <w:left w:val="single" w:sz="4" w:space="0" w:color="auto"/>
              <w:bottom w:val="single" w:sz="4" w:space="0" w:color="auto"/>
              <w:right w:val="single" w:sz="4" w:space="0" w:color="auto"/>
            </w:tcBorders>
            <w:noWrap/>
            <w:hideMark/>
          </w:tcPr>
          <w:p w14:paraId="022EB9A8"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336 118,22 zł </w:t>
            </w:r>
          </w:p>
        </w:tc>
        <w:tc>
          <w:tcPr>
            <w:tcW w:w="1533" w:type="dxa"/>
            <w:tcBorders>
              <w:top w:val="single" w:sz="4" w:space="0" w:color="auto"/>
              <w:left w:val="single" w:sz="4" w:space="0" w:color="auto"/>
              <w:bottom w:val="single" w:sz="4" w:space="0" w:color="auto"/>
              <w:right w:val="single" w:sz="4" w:space="0" w:color="auto"/>
            </w:tcBorders>
            <w:noWrap/>
            <w:hideMark/>
          </w:tcPr>
          <w:p w14:paraId="55950240"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353 087,38 zł </w:t>
            </w:r>
          </w:p>
        </w:tc>
        <w:tc>
          <w:tcPr>
            <w:tcW w:w="1534" w:type="dxa"/>
            <w:tcBorders>
              <w:top w:val="single" w:sz="4" w:space="0" w:color="auto"/>
              <w:left w:val="single" w:sz="4" w:space="0" w:color="auto"/>
              <w:bottom w:val="single" w:sz="4" w:space="0" w:color="auto"/>
              <w:right w:val="single" w:sz="4" w:space="0" w:color="auto"/>
            </w:tcBorders>
            <w:noWrap/>
            <w:hideMark/>
          </w:tcPr>
          <w:p w14:paraId="50842F23"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370 707,77 zł </w:t>
            </w:r>
          </w:p>
        </w:tc>
        <w:tc>
          <w:tcPr>
            <w:tcW w:w="1533" w:type="dxa"/>
            <w:tcBorders>
              <w:top w:val="single" w:sz="4" w:space="0" w:color="auto"/>
              <w:left w:val="single" w:sz="4" w:space="0" w:color="auto"/>
              <w:bottom w:val="single" w:sz="4" w:space="0" w:color="auto"/>
              <w:right w:val="single" w:sz="4" w:space="0" w:color="auto"/>
            </w:tcBorders>
            <w:noWrap/>
            <w:hideMark/>
          </w:tcPr>
          <w:p w14:paraId="7A11330B"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389 207,48 zł </w:t>
            </w:r>
          </w:p>
        </w:tc>
        <w:tc>
          <w:tcPr>
            <w:tcW w:w="1534" w:type="dxa"/>
            <w:tcBorders>
              <w:top w:val="single" w:sz="4" w:space="0" w:color="auto"/>
              <w:left w:val="single" w:sz="4" w:space="0" w:color="auto"/>
              <w:bottom w:val="single" w:sz="4" w:space="0" w:color="auto"/>
              <w:right w:val="single" w:sz="4" w:space="0" w:color="auto"/>
            </w:tcBorders>
            <w:noWrap/>
            <w:hideMark/>
          </w:tcPr>
          <w:p w14:paraId="00E02B54"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408 630,40 zł </w:t>
            </w:r>
          </w:p>
        </w:tc>
      </w:tr>
      <w:tr w:rsidR="003F5C1A" w14:paraId="31A64515" w14:textId="77777777" w:rsidTr="003F5C1A">
        <w:trPr>
          <w:trHeight w:val="277"/>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A691964" w14:textId="77777777" w:rsidR="003F5C1A" w:rsidRDefault="003F5C1A">
            <w:pPr>
              <w:spacing w:line="240" w:lineRule="auto"/>
              <w:rPr>
                <w:rFonts w:ascii="Times New Roman" w:eastAsia="Times New Roman" w:hAnsi="Times New Roman"/>
                <w:color w:val="000000"/>
                <w:lang w:eastAsia="pl-PL"/>
              </w:rPr>
            </w:pPr>
            <w:r>
              <w:rPr>
                <w:rFonts w:ascii="Times New Roman" w:eastAsia="Times New Roman" w:hAnsi="Times New Roman"/>
                <w:color w:val="000000"/>
                <w:lang w:eastAsia="pl-PL"/>
              </w:rPr>
              <w:t>DWR</w:t>
            </w:r>
          </w:p>
        </w:tc>
        <w:tc>
          <w:tcPr>
            <w:tcW w:w="1270" w:type="dxa"/>
            <w:tcBorders>
              <w:top w:val="single" w:sz="4" w:space="0" w:color="auto"/>
              <w:left w:val="single" w:sz="4" w:space="0" w:color="auto"/>
              <w:bottom w:val="single" w:sz="4" w:space="0" w:color="auto"/>
              <w:right w:val="single" w:sz="4" w:space="0" w:color="auto"/>
            </w:tcBorders>
            <w:noWrap/>
            <w:hideMark/>
          </w:tcPr>
          <w:p w14:paraId="2CFFFFD0"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8,50%</w:t>
            </w:r>
          </w:p>
        </w:tc>
        <w:tc>
          <w:tcPr>
            <w:tcW w:w="840" w:type="dxa"/>
            <w:tcBorders>
              <w:top w:val="single" w:sz="4" w:space="0" w:color="auto"/>
              <w:left w:val="single" w:sz="4" w:space="0" w:color="auto"/>
              <w:bottom w:val="single" w:sz="4" w:space="0" w:color="auto"/>
              <w:right w:val="single" w:sz="4" w:space="0" w:color="auto"/>
            </w:tcBorders>
            <w:noWrap/>
            <w:hideMark/>
          </w:tcPr>
          <w:p w14:paraId="74058EC6"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w:t>
            </w:r>
          </w:p>
        </w:tc>
        <w:tc>
          <w:tcPr>
            <w:tcW w:w="1533" w:type="dxa"/>
            <w:tcBorders>
              <w:top w:val="single" w:sz="4" w:space="0" w:color="auto"/>
              <w:left w:val="single" w:sz="4" w:space="0" w:color="auto"/>
              <w:bottom w:val="single" w:sz="4" w:space="0" w:color="auto"/>
              <w:right w:val="single" w:sz="4" w:space="0" w:color="auto"/>
            </w:tcBorders>
            <w:noWrap/>
            <w:hideMark/>
          </w:tcPr>
          <w:p w14:paraId="14433552"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0 zł </w:t>
            </w:r>
          </w:p>
        </w:tc>
        <w:tc>
          <w:tcPr>
            <w:tcW w:w="1533" w:type="dxa"/>
            <w:tcBorders>
              <w:top w:val="single" w:sz="4" w:space="0" w:color="auto"/>
              <w:left w:val="single" w:sz="4" w:space="0" w:color="auto"/>
              <w:bottom w:val="single" w:sz="4" w:space="0" w:color="auto"/>
              <w:right w:val="single" w:sz="4" w:space="0" w:color="auto"/>
            </w:tcBorders>
            <w:noWrap/>
            <w:hideMark/>
          </w:tcPr>
          <w:p w14:paraId="71615A23"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25 846,95 zł </w:t>
            </w:r>
          </w:p>
        </w:tc>
        <w:tc>
          <w:tcPr>
            <w:tcW w:w="1534" w:type="dxa"/>
            <w:tcBorders>
              <w:top w:val="single" w:sz="4" w:space="0" w:color="auto"/>
              <w:left w:val="single" w:sz="4" w:space="0" w:color="auto"/>
              <w:bottom w:val="single" w:sz="4" w:space="0" w:color="auto"/>
              <w:right w:val="single" w:sz="4" w:space="0" w:color="auto"/>
            </w:tcBorders>
            <w:noWrap/>
            <w:hideMark/>
          </w:tcPr>
          <w:p w14:paraId="3ECBD844"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27 181,93 zł </w:t>
            </w:r>
          </w:p>
        </w:tc>
        <w:tc>
          <w:tcPr>
            <w:tcW w:w="1533" w:type="dxa"/>
            <w:tcBorders>
              <w:top w:val="single" w:sz="4" w:space="0" w:color="auto"/>
              <w:left w:val="single" w:sz="4" w:space="0" w:color="auto"/>
              <w:bottom w:val="single" w:sz="4" w:space="0" w:color="auto"/>
              <w:right w:val="single" w:sz="4" w:space="0" w:color="auto"/>
            </w:tcBorders>
            <w:noWrap/>
            <w:hideMark/>
          </w:tcPr>
          <w:p w14:paraId="2D3483BE"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28 570,05 zł </w:t>
            </w:r>
          </w:p>
        </w:tc>
        <w:tc>
          <w:tcPr>
            <w:tcW w:w="1534" w:type="dxa"/>
            <w:tcBorders>
              <w:top w:val="single" w:sz="4" w:space="0" w:color="auto"/>
              <w:left w:val="single" w:sz="4" w:space="0" w:color="auto"/>
              <w:bottom w:val="single" w:sz="4" w:space="0" w:color="auto"/>
              <w:right w:val="single" w:sz="4" w:space="0" w:color="auto"/>
            </w:tcBorders>
            <w:noWrap/>
            <w:hideMark/>
          </w:tcPr>
          <w:p w14:paraId="52AEDE19"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30 012,43 zł </w:t>
            </w:r>
          </w:p>
        </w:tc>
        <w:tc>
          <w:tcPr>
            <w:tcW w:w="1533" w:type="dxa"/>
            <w:tcBorders>
              <w:top w:val="single" w:sz="4" w:space="0" w:color="auto"/>
              <w:left w:val="single" w:sz="4" w:space="0" w:color="auto"/>
              <w:bottom w:val="single" w:sz="4" w:space="0" w:color="auto"/>
              <w:right w:val="single" w:sz="4" w:space="0" w:color="auto"/>
            </w:tcBorders>
            <w:noWrap/>
            <w:hideMark/>
          </w:tcPr>
          <w:p w14:paraId="198B4944"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31 510,16 zł </w:t>
            </w:r>
          </w:p>
        </w:tc>
        <w:tc>
          <w:tcPr>
            <w:tcW w:w="1534" w:type="dxa"/>
            <w:tcBorders>
              <w:top w:val="single" w:sz="4" w:space="0" w:color="auto"/>
              <w:left w:val="single" w:sz="4" w:space="0" w:color="auto"/>
              <w:bottom w:val="single" w:sz="4" w:space="0" w:color="auto"/>
              <w:right w:val="single" w:sz="4" w:space="0" w:color="auto"/>
            </w:tcBorders>
            <w:noWrap/>
            <w:hideMark/>
          </w:tcPr>
          <w:p w14:paraId="0F866390"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33 082,64 zł </w:t>
            </w:r>
          </w:p>
        </w:tc>
      </w:tr>
      <w:tr w:rsidR="003F5C1A" w14:paraId="377AB35A" w14:textId="77777777" w:rsidTr="003F5C1A">
        <w:trPr>
          <w:trHeight w:val="34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2B51231" w14:textId="77777777" w:rsidR="003F5C1A" w:rsidRDefault="003F5C1A">
            <w:pPr>
              <w:spacing w:line="240" w:lineRule="auto"/>
              <w:rPr>
                <w:rFonts w:ascii="Times New Roman" w:eastAsia="Times New Roman" w:hAnsi="Times New Roman"/>
                <w:color w:val="000000"/>
                <w:lang w:eastAsia="pl-PL"/>
              </w:rPr>
            </w:pPr>
            <w:r>
              <w:rPr>
                <w:rFonts w:ascii="Times New Roman" w:eastAsia="Times New Roman" w:hAnsi="Times New Roman"/>
                <w:color w:val="000000"/>
                <w:lang w:eastAsia="pl-PL"/>
              </w:rPr>
              <w:t>ZUS</w:t>
            </w:r>
          </w:p>
        </w:tc>
        <w:tc>
          <w:tcPr>
            <w:tcW w:w="1270" w:type="dxa"/>
            <w:tcBorders>
              <w:top w:val="single" w:sz="4" w:space="0" w:color="auto"/>
              <w:left w:val="single" w:sz="4" w:space="0" w:color="auto"/>
              <w:bottom w:val="single" w:sz="4" w:space="0" w:color="auto"/>
              <w:right w:val="single" w:sz="4" w:space="0" w:color="auto"/>
            </w:tcBorders>
            <w:noWrap/>
            <w:hideMark/>
          </w:tcPr>
          <w:p w14:paraId="0787BA4B"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17,19%</w:t>
            </w:r>
          </w:p>
        </w:tc>
        <w:tc>
          <w:tcPr>
            <w:tcW w:w="840" w:type="dxa"/>
            <w:tcBorders>
              <w:top w:val="single" w:sz="4" w:space="0" w:color="auto"/>
              <w:left w:val="single" w:sz="4" w:space="0" w:color="auto"/>
              <w:bottom w:val="single" w:sz="4" w:space="0" w:color="auto"/>
              <w:right w:val="single" w:sz="4" w:space="0" w:color="auto"/>
            </w:tcBorders>
            <w:noWrap/>
            <w:hideMark/>
          </w:tcPr>
          <w:p w14:paraId="7D029693"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w:t>
            </w:r>
          </w:p>
        </w:tc>
        <w:tc>
          <w:tcPr>
            <w:tcW w:w="1533" w:type="dxa"/>
            <w:tcBorders>
              <w:top w:val="single" w:sz="4" w:space="0" w:color="auto"/>
              <w:left w:val="single" w:sz="4" w:space="0" w:color="auto"/>
              <w:bottom w:val="single" w:sz="4" w:space="0" w:color="auto"/>
              <w:right w:val="single" w:sz="4" w:space="0" w:color="auto"/>
            </w:tcBorders>
            <w:noWrap/>
            <w:hideMark/>
          </w:tcPr>
          <w:p w14:paraId="6757829B"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52 271,65 zł </w:t>
            </w:r>
          </w:p>
        </w:tc>
        <w:tc>
          <w:tcPr>
            <w:tcW w:w="1533" w:type="dxa"/>
            <w:tcBorders>
              <w:top w:val="single" w:sz="4" w:space="0" w:color="auto"/>
              <w:left w:val="single" w:sz="4" w:space="0" w:color="auto"/>
              <w:bottom w:val="single" w:sz="4" w:space="0" w:color="auto"/>
              <w:right w:val="single" w:sz="4" w:space="0" w:color="auto"/>
            </w:tcBorders>
            <w:noWrap/>
            <w:hideMark/>
          </w:tcPr>
          <w:p w14:paraId="233A623B"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59 414,55 zł </w:t>
            </w:r>
          </w:p>
        </w:tc>
        <w:tc>
          <w:tcPr>
            <w:tcW w:w="1534" w:type="dxa"/>
            <w:tcBorders>
              <w:top w:val="single" w:sz="4" w:space="0" w:color="auto"/>
              <w:left w:val="single" w:sz="4" w:space="0" w:color="auto"/>
              <w:bottom w:val="single" w:sz="4" w:space="0" w:color="auto"/>
              <w:right w:val="single" w:sz="4" w:space="0" w:color="auto"/>
            </w:tcBorders>
            <w:noWrap/>
            <w:hideMark/>
          </w:tcPr>
          <w:p w14:paraId="11D736D2"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62 451,30 zł </w:t>
            </w:r>
          </w:p>
        </w:tc>
        <w:tc>
          <w:tcPr>
            <w:tcW w:w="1533" w:type="dxa"/>
            <w:tcBorders>
              <w:top w:val="single" w:sz="4" w:space="0" w:color="auto"/>
              <w:left w:val="single" w:sz="4" w:space="0" w:color="auto"/>
              <w:bottom w:val="single" w:sz="4" w:space="0" w:color="auto"/>
              <w:right w:val="single" w:sz="4" w:space="0" w:color="auto"/>
            </w:tcBorders>
            <w:noWrap/>
            <w:hideMark/>
          </w:tcPr>
          <w:p w14:paraId="085ED169"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65 606,91 zł </w:t>
            </w:r>
          </w:p>
        </w:tc>
        <w:tc>
          <w:tcPr>
            <w:tcW w:w="1534" w:type="dxa"/>
            <w:tcBorders>
              <w:top w:val="single" w:sz="4" w:space="0" w:color="auto"/>
              <w:left w:val="single" w:sz="4" w:space="0" w:color="auto"/>
              <w:bottom w:val="single" w:sz="4" w:space="0" w:color="auto"/>
              <w:right w:val="single" w:sz="4" w:space="0" w:color="auto"/>
            </w:tcBorders>
            <w:noWrap/>
            <w:hideMark/>
          </w:tcPr>
          <w:p w14:paraId="389468AF"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68 883,80 zł </w:t>
            </w:r>
          </w:p>
        </w:tc>
        <w:tc>
          <w:tcPr>
            <w:tcW w:w="1533" w:type="dxa"/>
            <w:tcBorders>
              <w:top w:val="single" w:sz="4" w:space="0" w:color="auto"/>
              <w:left w:val="single" w:sz="4" w:space="0" w:color="auto"/>
              <w:bottom w:val="single" w:sz="4" w:space="0" w:color="auto"/>
              <w:right w:val="single" w:sz="4" w:space="0" w:color="auto"/>
            </w:tcBorders>
            <w:noWrap/>
            <w:hideMark/>
          </w:tcPr>
          <w:p w14:paraId="3080DC9D"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72 321,36 zł </w:t>
            </w:r>
          </w:p>
        </w:tc>
        <w:tc>
          <w:tcPr>
            <w:tcW w:w="1534" w:type="dxa"/>
            <w:tcBorders>
              <w:top w:val="single" w:sz="4" w:space="0" w:color="auto"/>
              <w:left w:val="single" w:sz="4" w:space="0" w:color="auto"/>
              <w:bottom w:val="single" w:sz="4" w:space="0" w:color="auto"/>
              <w:right w:val="single" w:sz="4" w:space="0" w:color="auto"/>
            </w:tcBorders>
            <w:noWrap/>
            <w:hideMark/>
          </w:tcPr>
          <w:p w14:paraId="5A9C411C"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75 930,47 zł </w:t>
            </w:r>
          </w:p>
        </w:tc>
      </w:tr>
      <w:tr w:rsidR="003F5C1A" w14:paraId="483D05AD" w14:textId="77777777" w:rsidTr="003F5C1A">
        <w:trPr>
          <w:trHeight w:val="34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93F57E9" w14:textId="77777777" w:rsidR="003F5C1A" w:rsidRDefault="003F5C1A">
            <w:pPr>
              <w:spacing w:line="240" w:lineRule="auto"/>
              <w:rPr>
                <w:rFonts w:ascii="Times New Roman" w:eastAsia="Times New Roman" w:hAnsi="Times New Roman"/>
                <w:color w:val="000000"/>
                <w:lang w:eastAsia="pl-PL"/>
              </w:rPr>
            </w:pPr>
            <w:r>
              <w:rPr>
                <w:rFonts w:ascii="Times New Roman" w:eastAsia="Times New Roman" w:hAnsi="Times New Roman"/>
                <w:color w:val="000000"/>
                <w:lang w:eastAsia="pl-PL"/>
              </w:rPr>
              <w:t>FP</w:t>
            </w:r>
          </w:p>
        </w:tc>
        <w:tc>
          <w:tcPr>
            <w:tcW w:w="1270" w:type="dxa"/>
            <w:tcBorders>
              <w:top w:val="single" w:sz="4" w:space="0" w:color="auto"/>
              <w:left w:val="single" w:sz="4" w:space="0" w:color="auto"/>
              <w:bottom w:val="single" w:sz="4" w:space="0" w:color="auto"/>
              <w:right w:val="single" w:sz="4" w:space="0" w:color="auto"/>
            </w:tcBorders>
            <w:noWrap/>
            <w:hideMark/>
          </w:tcPr>
          <w:p w14:paraId="0E1C8C25"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2,45%</w:t>
            </w:r>
          </w:p>
        </w:tc>
        <w:tc>
          <w:tcPr>
            <w:tcW w:w="840" w:type="dxa"/>
            <w:tcBorders>
              <w:top w:val="single" w:sz="4" w:space="0" w:color="auto"/>
              <w:left w:val="single" w:sz="4" w:space="0" w:color="auto"/>
              <w:bottom w:val="single" w:sz="4" w:space="0" w:color="auto"/>
              <w:right w:val="single" w:sz="4" w:space="0" w:color="auto"/>
            </w:tcBorders>
            <w:noWrap/>
            <w:hideMark/>
          </w:tcPr>
          <w:p w14:paraId="78391CB6"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w:t>
            </w:r>
          </w:p>
        </w:tc>
        <w:tc>
          <w:tcPr>
            <w:tcW w:w="1533" w:type="dxa"/>
            <w:tcBorders>
              <w:top w:val="single" w:sz="4" w:space="0" w:color="auto"/>
              <w:left w:val="single" w:sz="4" w:space="0" w:color="auto"/>
              <w:bottom w:val="single" w:sz="4" w:space="0" w:color="auto"/>
              <w:right w:val="single" w:sz="4" w:space="0" w:color="auto"/>
            </w:tcBorders>
            <w:noWrap/>
            <w:hideMark/>
          </w:tcPr>
          <w:p w14:paraId="420F77F0"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7 450,00 zł </w:t>
            </w:r>
          </w:p>
        </w:tc>
        <w:tc>
          <w:tcPr>
            <w:tcW w:w="1533" w:type="dxa"/>
            <w:tcBorders>
              <w:top w:val="single" w:sz="4" w:space="0" w:color="auto"/>
              <w:left w:val="single" w:sz="4" w:space="0" w:color="auto"/>
              <w:bottom w:val="single" w:sz="4" w:space="0" w:color="auto"/>
              <w:right w:val="single" w:sz="4" w:space="0" w:color="auto"/>
            </w:tcBorders>
            <w:noWrap/>
            <w:hideMark/>
          </w:tcPr>
          <w:p w14:paraId="66791BE9"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8 468,04 zł </w:t>
            </w:r>
          </w:p>
        </w:tc>
        <w:tc>
          <w:tcPr>
            <w:tcW w:w="1534" w:type="dxa"/>
            <w:tcBorders>
              <w:top w:val="single" w:sz="4" w:space="0" w:color="auto"/>
              <w:left w:val="single" w:sz="4" w:space="0" w:color="auto"/>
              <w:bottom w:val="single" w:sz="4" w:space="0" w:color="auto"/>
              <w:right w:val="single" w:sz="4" w:space="0" w:color="auto"/>
            </w:tcBorders>
            <w:noWrap/>
            <w:hideMark/>
          </w:tcPr>
          <w:p w14:paraId="4F309ECC"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8 900,85 zł </w:t>
            </w:r>
          </w:p>
        </w:tc>
        <w:tc>
          <w:tcPr>
            <w:tcW w:w="1533" w:type="dxa"/>
            <w:tcBorders>
              <w:top w:val="single" w:sz="4" w:space="0" w:color="auto"/>
              <w:left w:val="single" w:sz="4" w:space="0" w:color="auto"/>
              <w:bottom w:val="single" w:sz="4" w:space="0" w:color="auto"/>
              <w:right w:val="single" w:sz="4" w:space="0" w:color="auto"/>
            </w:tcBorders>
            <w:noWrap/>
            <w:hideMark/>
          </w:tcPr>
          <w:p w14:paraId="1748DA31"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9 350,61 zł </w:t>
            </w:r>
          </w:p>
        </w:tc>
        <w:tc>
          <w:tcPr>
            <w:tcW w:w="1534" w:type="dxa"/>
            <w:tcBorders>
              <w:top w:val="single" w:sz="4" w:space="0" w:color="auto"/>
              <w:left w:val="single" w:sz="4" w:space="0" w:color="auto"/>
              <w:bottom w:val="single" w:sz="4" w:space="0" w:color="auto"/>
              <w:right w:val="single" w:sz="4" w:space="0" w:color="auto"/>
            </w:tcBorders>
            <w:noWrap/>
            <w:hideMark/>
          </w:tcPr>
          <w:p w14:paraId="60E75AB9"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9 817,64 zł </w:t>
            </w:r>
          </w:p>
        </w:tc>
        <w:tc>
          <w:tcPr>
            <w:tcW w:w="1533" w:type="dxa"/>
            <w:tcBorders>
              <w:top w:val="single" w:sz="4" w:space="0" w:color="auto"/>
              <w:left w:val="single" w:sz="4" w:space="0" w:color="auto"/>
              <w:bottom w:val="single" w:sz="4" w:space="0" w:color="auto"/>
              <w:right w:val="single" w:sz="4" w:space="0" w:color="auto"/>
            </w:tcBorders>
            <w:noWrap/>
            <w:hideMark/>
          </w:tcPr>
          <w:p w14:paraId="26904BA4"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10 307,58 zł </w:t>
            </w:r>
          </w:p>
        </w:tc>
        <w:tc>
          <w:tcPr>
            <w:tcW w:w="1534" w:type="dxa"/>
            <w:tcBorders>
              <w:top w:val="single" w:sz="4" w:space="0" w:color="auto"/>
              <w:left w:val="single" w:sz="4" w:space="0" w:color="auto"/>
              <w:bottom w:val="single" w:sz="4" w:space="0" w:color="auto"/>
              <w:right w:val="single" w:sz="4" w:space="0" w:color="auto"/>
            </w:tcBorders>
            <w:noWrap/>
            <w:hideMark/>
          </w:tcPr>
          <w:p w14:paraId="08B2A3A7"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10 821,97 zł </w:t>
            </w:r>
          </w:p>
        </w:tc>
      </w:tr>
      <w:tr w:rsidR="003F5C1A" w14:paraId="64430F85" w14:textId="77777777" w:rsidTr="003F5C1A">
        <w:trPr>
          <w:trHeight w:val="345"/>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80F86AD" w14:textId="77777777" w:rsidR="003F5C1A" w:rsidRDefault="003F5C1A">
            <w:pPr>
              <w:spacing w:line="240" w:lineRule="auto"/>
              <w:rPr>
                <w:rFonts w:ascii="Times New Roman" w:eastAsia="Times New Roman" w:hAnsi="Times New Roman"/>
                <w:color w:val="000000"/>
                <w:lang w:eastAsia="pl-PL"/>
              </w:rPr>
            </w:pPr>
            <w:r>
              <w:rPr>
                <w:rFonts w:ascii="Times New Roman" w:eastAsia="Times New Roman" w:hAnsi="Times New Roman"/>
                <w:color w:val="000000"/>
                <w:lang w:eastAsia="pl-PL"/>
              </w:rPr>
              <w:t>PPK</w:t>
            </w:r>
          </w:p>
        </w:tc>
        <w:tc>
          <w:tcPr>
            <w:tcW w:w="1270" w:type="dxa"/>
            <w:tcBorders>
              <w:top w:val="single" w:sz="4" w:space="0" w:color="auto"/>
              <w:left w:val="single" w:sz="4" w:space="0" w:color="auto"/>
              <w:bottom w:val="single" w:sz="4" w:space="0" w:color="auto"/>
              <w:right w:val="single" w:sz="4" w:space="0" w:color="auto"/>
            </w:tcBorders>
            <w:noWrap/>
            <w:hideMark/>
          </w:tcPr>
          <w:p w14:paraId="36AE89F8"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2,00%</w:t>
            </w:r>
          </w:p>
        </w:tc>
        <w:tc>
          <w:tcPr>
            <w:tcW w:w="840" w:type="dxa"/>
            <w:tcBorders>
              <w:top w:val="single" w:sz="4" w:space="0" w:color="auto"/>
              <w:left w:val="single" w:sz="4" w:space="0" w:color="auto"/>
              <w:bottom w:val="single" w:sz="4" w:space="0" w:color="auto"/>
              <w:right w:val="single" w:sz="4" w:space="0" w:color="auto"/>
            </w:tcBorders>
            <w:noWrap/>
            <w:hideMark/>
          </w:tcPr>
          <w:p w14:paraId="60EFB0E1"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w:t>
            </w:r>
          </w:p>
        </w:tc>
        <w:tc>
          <w:tcPr>
            <w:tcW w:w="1533" w:type="dxa"/>
            <w:tcBorders>
              <w:top w:val="single" w:sz="4" w:space="0" w:color="auto"/>
              <w:left w:val="single" w:sz="4" w:space="0" w:color="auto"/>
              <w:bottom w:val="single" w:sz="4" w:space="0" w:color="auto"/>
              <w:right w:val="single" w:sz="4" w:space="0" w:color="auto"/>
            </w:tcBorders>
            <w:noWrap/>
            <w:hideMark/>
          </w:tcPr>
          <w:p w14:paraId="66619402"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6 081,64 zł </w:t>
            </w:r>
          </w:p>
        </w:tc>
        <w:tc>
          <w:tcPr>
            <w:tcW w:w="1533" w:type="dxa"/>
            <w:tcBorders>
              <w:top w:val="single" w:sz="4" w:space="0" w:color="auto"/>
              <w:left w:val="single" w:sz="4" w:space="0" w:color="auto"/>
              <w:bottom w:val="single" w:sz="4" w:space="0" w:color="auto"/>
              <w:right w:val="single" w:sz="4" w:space="0" w:color="auto"/>
            </w:tcBorders>
            <w:noWrap/>
            <w:hideMark/>
          </w:tcPr>
          <w:p w14:paraId="4877FCA0"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6 912,69 zł </w:t>
            </w:r>
          </w:p>
        </w:tc>
        <w:tc>
          <w:tcPr>
            <w:tcW w:w="1534" w:type="dxa"/>
            <w:tcBorders>
              <w:top w:val="single" w:sz="4" w:space="0" w:color="auto"/>
              <w:left w:val="single" w:sz="4" w:space="0" w:color="auto"/>
              <w:bottom w:val="single" w:sz="4" w:space="0" w:color="auto"/>
              <w:right w:val="single" w:sz="4" w:space="0" w:color="auto"/>
            </w:tcBorders>
            <w:noWrap/>
            <w:hideMark/>
          </w:tcPr>
          <w:p w14:paraId="3E234F2E"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7 266,00 zł </w:t>
            </w:r>
          </w:p>
        </w:tc>
        <w:tc>
          <w:tcPr>
            <w:tcW w:w="1533" w:type="dxa"/>
            <w:tcBorders>
              <w:top w:val="single" w:sz="4" w:space="0" w:color="auto"/>
              <w:left w:val="single" w:sz="4" w:space="0" w:color="auto"/>
              <w:bottom w:val="single" w:sz="4" w:space="0" w:color="auto"/>
              <w:right w:val="single" w:sz="4" w:space="0" w:color="auto"/>
            </w:tcBorders>
            <w:noWrap/>
            <w:hideMark/>
          </w:tcPr>
          <w:p w14:paraId="6BA1755E"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7 633,15 zł </w:t>
            </w:r>
          </w:p>
        </w:tc>
        <w:tc>
          <w:tcPr>
            <w:tcW w:w="1534" w:type="dxa"/>
            <w:tcBorders>
              <w:top w:val="single" w:sz="4" w:space="0" w:color="auto"/>
              <w:left w:val="single" w:sz="4" w:space="0" w:color="auto"/>
              <w:bottom w:val="single" w:sz="4" w:space="0" w:color="auto"/>
              <w:right w:val="single" w:sz="4" w:space="0" w:color="auto"/>
            </w:tcBorders>
            <w:noWrap/>
            <w:hideMark/>
          </w:tcPr>
          <w:p w14:paraId="2C20994D"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8 014,40 zł </w:t>
            </w:r>
          </w:p>
        </w:tc>
        <w:tc>
          <w:tcPr>
            <w:tcW w:w="1533" w:type="dxa"/>
            <w:tcBorders>
              <w:top w:val="single" w:sz="4" w:space="0" w:color="auto"/>
              <w:left w:val="single" w:sz="4" w:space="0" w:color="auto"/>
              <w:bottom w:val="single" w:sz="4" w:space="0" w:color="auto"/>
              <w:right w:val="single" w:sz="4" w:space="0" w:color="auto"/>
            </w:tcBorders>
            <w:noWrap/>
            <w:hideMark/>
          </w:tcPr>
          <w:p w14:paraId="79A5E614"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8 414,35 zł </w:t>
            </w:r>
          </w:p>
        </w:tc>
        <w:tc>
          <w:tcPr>
            <w:tcW w:w="1534" w:type="dxa"/>
            <w:tcBorders>
              <w:top w:val="single" w:sz="4" w:space="0" w:color="auto"/>
              <w:left w:val="single" w:sz="4" w:space="0" w:color="auto"/>
              <w:bottom w:val="single" w:sz="4" w:space="0" w:color="auto"/>
              <w:right w:val="single" w:sz="4" w:space="0" w:color="auto"/>
            </w:tcBorders>
            <w:noWrap/>
            <w:hideMark/>
          </w:tcPr>
          <w:p w14:paraId="6C787590"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8 834,26 zł </w:t>
            </w:r>
          </w:p>
        </w:tc>
      </w:tr>
      <w:tr w:rsidR="003F5C1A" w14:paraId="26E536A7" w14:textId="77777777" w:rsidTr="003F5C1A">
        <w:trPr>
          <w:trHeight w:val="339"/>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7450B" w14:textId="77777777" w:rsidR="003F5C1A" w:rsidRDefault="003F5C1A">
            <w:pPr>
              <w:spacing w:line="240" w:lineRule="auto"/>
              <w:rPr>
                <w:rFonts w:ascii="Times New Roman" w:eastAsia="Times New Roman" w:hAnsi="Times New Roman"/>
                <w:color w:val="000000"/>
                <w:lang w:eastAsia="pl-PL"/>
              </w:rPr>
            </w:pPr>
            <w:r>
              <w:rPr>
                <w:rFonts w:ascii="Times New Roman" w:eastAsia="Times New Roman" w:hAnsi="Times New Roman"/>
                <w:color w:val="000000"/>
                <w:lang w:eastAsia="pl-PL"/>
              </w:rPr>
              <w:t>biurko, fotel, szafa</w:t>
            </w:r>
          </w:p>
        </w:tc>
        <w:tc>
          <w:tcPr>
            <w:tcW w:w="1270" w:type="dxa"/>
            <w:tcBorders>
              <w:top w:val="single" w:sz="4" w:space="0" w:color="auto"/>
              <w:left w:val="single" w:sz="4" w:space="0" w:color="auto"/>
              <w:bottom w:val="single" w:sz="4" w:space="0" w:color="auto"/>
              <w:right w:val="single" w:sz="4" w:space="0" w:color="auto"/>
            </w:tcBorders>
            <w:noWrap/>
            <w:hideMark/>
          </w:tcPr>
          <w:p w14:paraId="40E0AE22" w14:textId="77777777" w:rsidR="003F5C1A" w:rsidRDefault="003F5C1A">
            <w:pPr>
              <w:spacing w:line="240" w:lineRule="auto"/>
              <w:jc w:val="right"/>
              <w:rPr>
                <w:rFonts w:ascii="Times New Roman" w:eastAsia="Times New Roman" w:hAnsi="Times New Roman"/>
                <w:lang w:eastAsia="pl-PL"/>
              </w:rPr>
            </w:pPr>
            <w:r>
              <w:rPr>
                <w:rFonts w:ascii="Times New Roman" w:eastAsia="Times New Roman" w:hAnsi="Times New Roman"/>
                <w:lang w:eastAsia="pl-PL"/>
              </w:rPr>
              <w:t xml:space="preserve">    5 000,00 zł </w:t>
            </w:r>
          </w:p>
        </w:tc>
        <w:tc>
          <w:tcPr>
            <w:tcW w:w="840" w:type="dxa"/>
            <w:tcBorders>
              <w:top w:val="single" w:sz="4" w:space="0" w:color="auto"/>
              <w:left w:val="single" w:sz="4" w:space="0" w:color="auto"/>
              <w:bottom w:val="single" w:sz="4" w:space="0" w:color="auto"/>
              <w:right w:val="single" w:sz="4" w:space="0" w:color="auto"/>
            </w:tcBorders>
            <w:noWrap/>
            <w:hideMark/>
          </w:tcPr>
          <w:p w14:paraId="06852100"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w:t>
            </w:r>
          </w:p>
        </w:tc>
        <w:tc>
          <w:tcPr>
            <w:tcW w:w="1533" w:type="dxa"/>
            <w:tcBorders>
              <w:top w:val="single" w:sz="4" w:space="0" w:color="auto"/>
              <w:left w:val="single" w:sz="4" w:space="0" w:color="auto"/>
              <w:bottom w:val="single" w:sz="4" w:space="0" w:color="auto"/>
              <w:right w:val="single" w:sz="4" w:space="0" w:color="auto"/>
            </w:tcBorders>
            <w:noWrap/>
            <w:hideMark/>
          </w:tcPr>
          <w:p w14:paraId="3C4FBDE3"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10 000,00 zł </w:t>
            </w:r>
          </w:p>
        </w:tc>
        <w:tc>
          <w:tcPr>
            <w:tcW w:w="1533" w:type="dxa"/>
            <w:tcBorders>
              <w:top w:val="single" w:sz="4" w:space="0" w:color="auto"/>
              <w:left w:val="single" w:sz="4" w:space="0" w:color="auto"/>
              <w:bottom w:val="single" w:sz="4" w:space="0" w:color="auto"/>
              <w:right w:val="single" w:sz="4" w:space="0" w:color="auto"/>
            </w:tcBorders>
            <w:noWrap/>
            <w:hideMark/>
          </w:tcPr>
          <w:p w14:paraId="5A3492D7"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0 zł </w:t>
            </w:r>
          </w:p>
        </w:tc>
        <w:tc>
          <w:tcPr>
            <w:tcW w:w="1534" w:type="dxa"/>
            <w:tcBorders>
              <w:top w:val="single" w:sz="4" w:space="0" w:color="auto"/>
              <w:left w:val="single" w:sz="4" w:space="0" w:color="auto"/>
              <w:bottom w:val="single" w:sz="4" w:space="0" w:color="auto"/>
              <w:right w:val="single" w:sz="4" w:space="0" w:color="auto"/>
            </w:tcBorders>
            <w:noWrap/>
            <w:hideMark/>
          </w:tcPr>
          <w:p w14:paraId="2DF23918"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c>
          <w:tcPr>
            <w:tcW w:w="1533" w:type="dxa"/>
            <w:tcBorders>
              <w:top w:val="single" w:sz="4" w:space="0" w:color="auto"/>
              <w:left w:val="single" w:sz="4" w:space="0" w:color="auto"/>
              <w:bottom w:val="single" w:sz="4" w:space="0" w:color="auto"/>
              <w:right w:val="single" w:sz="4" w:space="0" w:color="auto"/>
            </w:tcBorders>
            <w:noWrap/>
            <w:hideMark/>
          </w:tcPr>
          <w:p w14:paraId="40851247"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0 zł                                </w:t>
            </w:r>
          </w:p>
        </w:tc>
        <w:tc>
          <w:tcPr>
            <w:tcW w:w="1534" w:type="dxa"/>
            <w:tcBorders>
              <w:top w:val="single" w:sz="4" w:space="0" w:color="auto"/>
              <w:left w:val="single" w:sz="4" w:space="0" w:color="auto"/>
              <w:bottom w:val="single" w:sz="4" w:space="0" w:color="auto"/>
              <w:right w:val="single" w:sz="4" w:space="0" w:color="auto"/>
            </w:tcBorders>
            <w:noWrap/>
            <w:hideMark/>
          </w:tcPr>
          <w:p w14:paraId="4C1B0F59"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c>
          <w:tcPr>
            <w:tcW w:w="1533" w:type="dxa"/>
            <w:tcBorders>
              <w:top w:val="single" w:sz="4" w:space="0" w:color="auto"/>
              <w:left w:val="single" w:sz="4" w:space="0" w:color="auto"/>
              <w:bottom w:val="single" w:sz="4" w:space="0" w:color="auto"/>
              <w:right w:val="single" w:sz="4" w:space="0" w:color="auto"/>
            </w:tcBorders>
            <w:noWrap/>
            <w:hideMark/>
          </w:tcPr>
          <w:p w14:paraId="4528B634"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c>
          <w:tcPr>
            <w:tcW w:w="1534" w:type="dxa"/>
            <w:tcBorders>
              <w:top w:val="single" w:sz="4" w:space="0" w:color="auto"/>
              <w:left w:val="single" w:sz="4" w:space="0" w:color="auto"/>
              <w:bottom w:val="single" w:sz="4" w:space="0" w:color="auto"/>
              <w:right w:val="single" w:sz="4" w:space="0" w:color="auto"/>
            </w:tcBorders>
            <w:noWrap/>
            <w:hideMark/>
          </w:tcPr>
          <w:p w14:paraId="45E2BFCF"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r>
      <w:tr w:rsidR="003F5C1A" w14:paraId="11C93493" w14:textId="77777777" w:rsidTr="003F5C1A">
        <w:trPr>
          <w:trHeight w:val="273"/>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E5EF6" w14:textId="77777777" w:rsidR="003F5C1A" w:rsidRDefault="003F5C1A">
            <w:pPr>
              <w:spacing w:line="240" w:lineRule="auto"/>
              <w:rPr>
                <w:rFonts w:ascii="Times New Roman" w:eastAsia="Times New Roman" w:hAnsi="Times New Roman"/>
                <w:color w:val="000000"/>
                <w:lang w:eastAsia="pl-PL"/>
              </w:rPr>
            </w:pPr>
            <w:r>
              <w:rPr>
                <w:rFonts w:ascii="Times New Roman" w:eastAsia="Times New Roman" w:hAnsi="Times New Roman"/>
                <w:color w:val="000000"/>
                <w:lang w:eastAsia="pl-PL"/>
              </w:rPr>
              <w:t>komputer</w:t>
            </w:r>
          </w:p>
        </w:tc>
        <w:tc>
          <w:tcPr>
            <w:tcW w:w="1270" w:type="dxa"/>
            <w:tcBorders>
              <w:top w:val="single" w:sz="4" w:space="0" w:color="auto"/>
              <w:left w:val="single" w:sz="4" w:space="0" w:color="auto"/>
              <w:bottom w:val="single" w:sz="4" w:space="0" w:color="auto"/>
              <w:right w:val="single" w:sz="4" w:space="0" w:color="auto"/>
            </w:tcBorders>
            <w:noWrap/>
            <w:hideMark/>
          </w:tcPr>
          <w:p w14:paraId="1F3DE959" w14:textId="77777777" w:rsidR="003F5C1A" w:rsidRDefault="003F5C1A">
            <w:pPr>
              <w:spacing w:line="240" w:lineRule="auto"/>
              <w:jc w:val="right"/>
              <w:rPr>
                <w:rFonts w:ascii="Times New Roman" w:eastAsia="Times New Roman" w:hAnsi="Times New Roman"/>
                <w:lang w:eastAsia="pl-PL"/>
              </w:rPr>
            </w:pPr>
            <w:r>
              <w:rPr>
                <w:rFonts w:ascii="Times New Roman" w:eastAsia="Times New Roman" w:hAnsi="Times New Roman"/>
                <w:lang w:eastAsia="pl-PL"/>
              </w:rPr>
              <w:t xml:space="preserve">    6 000,00 zł </w:t>
            </w:r>
          </w:p>
        </w:tc>
        <w:tc>
          <w:tcPr>
            <w:tcW w:w="840" w:type="dxa"/>
            <w:tcBorders>
              <w:top w:val="single" w:sz="4" w:space="0" w:color="auto"/>
              <w:left w:val="single" w:sz="4" w:space="0" w:color="auto"/>
              <w:bottom w:val="single" w:sz="4" w:space="0" w:color="auto"/>
              <w:right w:val="single" w:sz="4" w:space="0" w:color="auto"/>
            </w:tcBorders>
            <w:noWrap/>
            <w:hideMark/>
          </w:tcPr>
          <w:p w14:paraId="252DB6FA"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2</w:t>
            </w:r>
          </w:p>
        </w:tc>
        <w:tc>
          <w:tcPr>
            <w:tcW w:w="1533" w:type="dxa"/>
            <w:tcBorders>
              <w:top w:val="single" w:sz="4" w:space="0" w:color="auto"/>
              <w:left w:val="single" w:sz="4" w:space="0" w:color="auto"/>
              <w:bottom w:val="single" w:sz="4" w:space="0" w:color="auto"/>
              <w:right w:val="single" w:sz="4" w:space="0" w:color="auto"/>
            </w:tcBorders>
            <w:noWrap/>
            <w:hideMark/>
          </w:tcPr>
          <w:p w14:paraId="65D15EC6"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                  12 000,00 zł </w:t>
            </w:r>
          </w:p>
        </w:tc>
        <w:tc>
          <w:tcPr>
            <w:tcW w:w="1533" w:type="dxa"/>
            <w:tcBorders>
              <w:top w:val="single" w:sz="4" w:space="0" w:color="auto"/>
              <w:left w:val="single" w:sz="4" w:space="0" w:color="auto"/>
              <w:bottom w:val="single" w:sz="4" w:space="0" w:color="auto"/>
              <w:right w:val="single" w:sz="4" w:space="0" w:color="auto"/>
            </w:tcBorders>
            <w:noWrap/>
            <w:hideMark/>
          </w:tcPr>
          <w:p w14:paraId="2C2DB67C"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 xml:space="preserve">0 zł </w:t>
            </w:r>
          </w:p>
        </w:tc>
        <w:tc>
          <w:tcPr>
            <w:tcW w:w="1534" w:type="dxa"/>
            <w:tcBorders>
              <w:top w:val="single" w:sz="4" w:space="0" w:color="auto"/>
              <w:left w:val="single" w:sz="4" w:space="0" w:color="auto"/>
              <w:bottom w:val="single" w:sz="4" w:space="0" w:color="auto"/>
              <w:right w:val="single" w:sz="4" w:space="0" w:color="auto"/>
            </w:tcBorders>
            <w:noWrap/>
            <w:hideMark/>
          </w:tcPr>
          <w:p w14:paraId="70BE83BE"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c>
          <w:tcPr>
            <w:tcW w:w="1533" w:type="dxa"/>
            <w:tcBorders>
              <w:top w:val="single" w:sz="4" w:space="0" w:color="auto"/>
              <w:left w:val="single" w:sz="4" w:space="0" w:color="auto"/>
              <w:bottom w:val="single" w:sz="4" w:space="0" w:color="auto"/>
              <w:right w:val="single" w:sz="4" w:space="0" w:color="auto"/>
            </w:tcBorders>
            <w:noWrap/>
            <w:hideMark/>
          </w:tcPr>
          <w:p w14:paraId="57D101EA"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c>
          <w:tcPr>
            <w:tcW w:w="1534" w:type="dxa"/>
            <w:tcBorders>
              <w:top w:val="single" w:sz="4" w:space="0" w:color="auto"/>
              <w:left w:val="single" w:sz="4" w:space="0" w:color="auto"/>
              <w:bottom w:val="single" w:sz="4" w:space="0" w:color="auto"/>
              <w:right w:val="single" w:sz="4" w:space="0" w:color="auto"/>
            </w:tcBorders>
            <w:noWrap/>
            <w:hideMark/>
          </w:tcPr>
          <w:p w14:paraId="08434B72"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c>
          <w:tcPr>
            <w:tcW w:w="1533" w:type="dxa"/>
            <w:tcBorders>
              <w:top w:val="single" w:sz="4" w:space="0" w:color="auto"/>
              <w:left w:val="single" w:sz="4" w:space="0" w:color="auto"/>
              <w:bottom w:val="single" w:sz="4" w:space="0" w:color="auto"/>
              <w:right w:val="single" w:sz="4" w:space="0" w:color="auto"/>
            </w:tcBorders>
            <w:noWrap/>
            <w:hideMark/>
          </w:tcPr>
          <w:p w14:paraId="18B21B4D"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c>
          <w:tcPr>
            <w:tcW w:w="1534" w:type="dxa"/>
            <w:tcBorders>
              <w:top w:val="single" w:sz="4" w:space="0" w:color="auto"/>
              <w:left w:val="single" w:sz="4" w:space="0" w:color="auto"/>
              <w:bottom w:val="single" w:sz="4" w:space="0" w:color="auto"/>
              <w:right w:val="single" w:sz="4" w:space="0" w:color="auto"/>
            </w:tcBorders>
            <w:noWrap/>
            <w:hideMark/>
          </w:tcPr>
          <w:p w14:paraId="03CE0602" w14:textId="77777777" w:rsidR="003F5C1A" w:rsidRDefault="003F5C1A">
            <w:pPr>
              <w:spacing w:line="240" w:lineRule="auto"/>
              <w:jc w:val="right"/>
              <w:rPr>
                <w:rFonts w:ascii="Times New Roman" w:eastAsia="Times New Roman" w:hAnsi="Times New Roman"/>
                <w:color w:val="000000"/>
                <w:lang w:eastAsia="pl-PL"/>
              </w:rPr>
            </w:pPr>
            <w:r>
              <w:rPr>
                <w:rFonts w:ascii="Times New Roman" w:eastAsia="Times New Roman" w:hAnsi="Times New Roman"/>
                <w:color w:val="000000"/>
                <w:lang w:eastAsia="pl-PL"/>
              </w:rPr>
              <w:t>0 zł</w:t>
            </w:r>
          </w:p>
        </w:tc>
      </w:tr>
      <w:tr w:rsidR="003F5C1A" w14:paraId="11B09583" w14:textId="77777777" w:rsidTr="003F5C1A">
        <w:trPr>
          <w:trHeight w:val="276"/>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F2A791" w14:textId="77777777" w:rsidR="003F5C1A" w:rsidRDefault="003F5C1A">
            <w:pPr>
              <w:spacing w:line="240" w:lineRule="auto"/>
              <w:rPr>
                <w:rFonts w:ascii="Times New Roman" w:eastAsia="Times New Roman" w:hAnsi="Times New Roman"/>
                <w:b/>
                <w:bCs/>
                <w:color w:val="000000"/>
                <w:lang w:eastAsia="pl-PL"/>
              </w:rPr>
            </w:pPr>
            <w:r>
              <w:rPr>
                <w:rFonts w:ascii="Times New Roman" w:eastAsia="Times New Roman" w:hAnsi="Times New Roman"/>
                <w:b/>
                <w:bCs/>
                <w:color w:val="000000"/>
                <w:lang w:eastAsia="pl-PL"/>
              </w:rPr>
              <w:t>SUMA</w:t>
            </w:r>
          </w:p>
        </w:tc>
        <w:tc>
          <w:tcPr>
            <w:tcW w:w="1270" w:type="dxa"/>
            <w:tcBorders>
              <w:top w:val="single" w:sz="4" w:space="0" w:color="auto"/>
              <w:left w:val="single" w:sz="4" w:space="0" w:color="auto"/>
              <w:bottom w:val="single" w:sz="4" w:space="0" w:color="auto"/>
              <w:right w:val="single" w:sz="4" w:space="0" w:color="auto"/>
            </w:tcBorders>
            <w:noWrap/>
            <w:hideMark/>
          </w:tcPr>
          <w:p w14:paraId="6E136068" w14:textId="77777777" w:rsidR="003F5C1A" w:rsidRDefault="003F5C1A">
            <w:pPr>
              <w:spacing w:line="240" w:lineRule="auto"/>
              <w:jc w:val="right"/>
              <w:rPr>
                <w:rFonts w:ascii="Times New Roman" w:eastAsia="Times New Roman" w:hAnsi="Times New Roman"/>
                <w:b/>
                <w:bCs/>
                <w:lang w:eastAsia="pl-PL"/>
              </w:rPr>
            </w:pPr>
            <w:r>
              <w:rPr>
                <w:rFonts w:ascii="Times New Roman" w:eastAsia="Times New Roman" w:hAnsi="Times New Roman"/>
                <w:b/>
                <w:bCs/>
                <w:lang w:eastAsia="pl-PL"/>
              </w:rPr>
              <w:t> </w:t>
            </w:r>
          </w:p>
        </w:tc>
        <w:tc>
          <w:tcPr>
            <w:tcW w:w="840" w:type="dxa"/>
            <w:tcBorders>
              <w:top w:val="single" w:sz="4" w:space="0" w:color="auto"/>
              <w:left w:val="single" w:sz="4" w:space="0" w:color="auto"/>
              <w:bottom w:val="single" w:sz="4" w:space="0" w:color="auto"/>
              <w:right w:val="single" w:sz="4" w:space="0" w:color="auto"/>
            </w:tcBorders>
            <w:noWrap/>
            <w:hideMark/>
          </w:tcPr>
          <w:p w14:paraId="786663FF"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w:t>
            </w:r>
          </w:p>
        </w:tc>
        <w:tc>
          <w:tcPr>
            <w:tcW w:w="1533" w:type="dxa"/>
            <w:tcBorders>
              <w:top w:val="single" w:sz="4" w:space="0" w:color="auto"/>
              <w:left w:val="single" w:sz="4" w:space="0" w:color="auto"/>
              <w:bottom w:val="single" w:sz="4" w:space="0" w:color="auto"/>
              <w:right w:val="single" w:sz="4" w:space="0" w:color="auto"/>
            </w:tcBorders>
            <w:noWrap/>
            <w:hideMark/>
          </w:tcPr>
          <w:p w14:paraId="0B173556"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        391 885,05 zł </w:t>
            </w:r>
          </w:p>
        </w:tc>
        <w:tc>
          <w:tcPr>
            <w:tcW w:w="1533" w:type="dxa"/>
            <w:tcBorders>
              <w:top w:val="single" w:sz="4" w:space="0" w:color="auto"/>
              <w:left w:val="single" w:sz="4" w:space="0" w:color="auto"/>
              <w:bottom w:val="single" w:sz="4" w:space="0" w:color="auto"/>
              <w:right w:val="single" w:sz="4" w:space="0" w:color="auto"/>
            </w:tcBorders>
            <w:noWrap/>
            <w:hideMark/>
          </w:tcPr>
          <w:p w14:paraId="1465D5EC"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        420 429,67 zł </w:t>
            </w:r>
          </w:p>
        </w:tc>
        <w:tc>
          <w:tcPr>
            <w:tcW w:w="1534" w:type="dxa"/>
            <w:tcBorders>
              <w:top w:val="single" w:sz="4" w:space="0" w:color="auto"/>
              <w:left w:val="single" w:sz="4" w:space="0" w:color="auto"/>
              <w:bottom w:val="single" w:sz="4" w:space="0" w:color="auto"/>
              <w:right w:val="single" w:sz="4" w:space="0" w:color="auto"/>
            </w:tcBorders>
            <w:noWrap/>
            <w:hideMark/>
          </w:tcPr>
          <w:p w14:paraId="21CC829F"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        441 918,31 zł </w:t>
            </w:r>
          </w:p>
        </w:tc>
        <w:tc>
          <w:tcPr>
            <w:tcW w:w="1533" w:type="dxa"/>
            <w:tcBorders>
              <w:top w:val="single" w:sz="4" w:space="0" w:color="auto"/>
              <w:left w:val="single" w:sz="4" w:space="0" w:color="auto"/>
              <w:bottom w:val="single" w:sz="4" w:space="0" w:color="auto"/>
              <w:right w:val="single" w:sz="4" w:space="0" w:color="auto"/>
            </w:tcBorders>
            <w:noWrap/>
            <w:hideMark/>
          </w:tcPr>
          <w:p w14:paraId="3DBBD6F8"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        464 248,10 zł </w:t>
            </w:r>
          </w:p>
        </w:tc>
        <w:tc>
          <w:tcPr>
            <w:tcW w:w="1534" w:type="dxa"/>
            <w:tcBorders>
              <w:top w:val="single" w:sz="4" w:space="0" w:color="auto"/>
              <w:left w:val="single" w:sz="4" w:space="0" w:color="auto"/>
              <w:bottom w:val="single" w:sz="4" w:space="0" w:color="auto"/>
              <w:right w:val="single" w:sz="4" w:space="0" w:color="auto"/>
            </w:tcBorders>
            <w:noWrap/>
            <w:hideMark/>
          </w:tcPr>
          <w:p w14:paraId="6A32AD53"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        487 436,05 zł </w:t>
            </w:r>
          </w:p>
        </w:tc>
        <w:tc>
          <w:tcPr>
            <w:tcW w:w="1533" w:type="dxa"/>
            <w:tcBorders>
              <w:top w:val="single" w:sz="4" w:space="0" w:color="auto"/>
              <w:left w:val="single" w:sz="4" w:space="0" w:color="auto"/>
              <w:bottom w:val="single" w:sz="4" w:space="0" w:color="auto"/>
              <w:right w:val="single" w:sz="4" w:space="0" w:color="auto"/>
            </w:tcBorders>
            <w:noWrap/>
            <w:hideMark/>
          </w:tcPr>
          <w:p w14:paraId="35304310"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        511 760,94 zł </w:t>
            </w:r>
          </w:p>
        </w:tc>
        <w:tc>
          <w:tcPr>
            <w:tcW w:w="1534" w:type="dxa"/>
            <w:tcBorders>
              <w:top w:val="single" w:sz="4" w:space="0" w:color="auto"/>
              <w:left w:val="single" w:sz="4" w:space="0" w:color="auto"/>
              <w:bottom w:val="single" w:sz="4" w:space="0" w:color="auto"/>
              <w:right w:val="single" w:sz="4" w:space="0" w:color="auto"/>
            </w:tcBorders>
            <w:noWrap/>
            <w:hideMark/>
          </w:tcPr>
          <w:p w14:paraId="17898499" w14:textId="77777777" w:rsidR="003F5C1A" w:rsidRDefault="003F5C1A">
            <w:pPr>
              <w:spacing w:line="240" w:lineRule="auto"/>
              <w:jc w:val="right"/>
              <w:rPr>
                <w:rFonts w:ascii="Times New Roman" w:eastAsia="Times New Roman" w:hAnsi="Times New Roman"/>
                <w:b/>
                <w:bCs/>
                <w:color w:val="000000"/>
                <w:lang w:eastAsia="pl-PL"/>
              </w:rPr>
            </w:pPr>
            <w:r>
              <w:rPr>
                <w:rFonts w:ascii="Times New Roman" w:eastAsia="Times New Roman" w:hAnsi="Times New Roman"/>
                <w:b/>
                <w:bCs/>
                <w:color w:val="000000"/>
                <w:lang w:eastAsia="pl-PL"/>
              </w:rPr>
              <w:t xml:space="preserve">        537 299,73 zł </w:t>
            </w:r>
          </w:p>
        </w:tc>
      </w:tr>
    </w:tbl>
    <w:p w14:paraId="3E647158" w14:textId="77777777" w:rsidR="003F5C1A" w:rsidRDefault="003F5C1A" w:rsidP="003F5C1A">
      <w:pPr>
        <w:rPr>
          <w:rFonts w:asciiTheme="minorHAnsi" w:eastAsiaTheme="minorHAnsi" w:hAnsiTheme="minorHAnsi" w:cstheme="minorBidi"/>
          <w:kern w:val="2"/>
          <w14:ligatures w14:val="standardContextual"/>
        </w:rPr>
      </w:pPr>
    </w:p>
    <w:p w14:paraId="2E5D23FF" w14:textId="2D533FA9" w:rsidR="003F5C1A" w:rsidRDefault="003F5C1A" w:rsidP="003F5C1A">
      <w:r>
        <w:rPr>
          <w:rFonts w:ascii="Times New Roman" w:hAnsi="Times New Roman"/>
          <w:lang w:eastAsia="en-GB"/>
        </w:rPr>
        <w:lastRenderedPageBreak/>
        <w:t xml:space="preserve">Wyliczenie miesięcznego wynagrodzenia w poszczególnych latach na potrzeby określenia kosztów etatów w GIOŚ i </w:t>
      </w:r>
      <w:r w:rsidR="009A551E">
        <w:rPr>
          <w:rFonts w:ascii="Times New Roman" w:hAnsi="Times New Roman"/>
          <w:lang w:eastAsia="en-GB"/>
        </w:rPr>
        <w:t>WIOŚ</w:t>
      </w:r>
    </w:p>
    <w:tbl>
      <w:tblPr>
        <w:tblStyle w:val="Tabela-Siatka"/>
        <w:tblW w:w="14460" w:type="dxa"/>
        <w:tblLayout w:type="fixed"/>
        <w:tblLook w:val="04A0" w:firstRow="1" w:lastRow="0" w:firstColumn="1" w:lastColumn="0" w:noHBand="0" w:noVBand="1"/>
      </w:tblPr>
      <w:tblGrid>
        <w:gridCol w:w="1415"/>
        <w:gridCol w:w="932"/>
        <w:gridCol w:w="933"/>
        <w:gridCol w:w="932"/>
        <w:gridCol w:w="933"/>
        <w:gridCol w:w="931"/>
        <w:gridCol w:w="932"/>
        <w:gridCol w:w="931"/>
        <w:gridCol w:w="932"/>
        <w:gridCol w:w="931"/>
        <w:gridCol w:w="932"/>
        <w:gridCol w:w="931"/>
        <w:gridCol w:w="932"/>
        <w:gridCol w:w="931"/>
        <w:gridCol w:w="932"/>
      </w:tblGrid>
      <w:tr w:rsidR="003F5C1A" w14:paraId="0D979E4D" w14:textId="77777777" w:rsidTr="003F5C1A">
        <w:trPr>
          <w:trHeight w:val="11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63ABE1C" w14:textId="77777777" w:rsidR="003F5C1A" w:rsidRDefault="003F5C1A"/>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69C1528"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2025</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CE48955"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2026</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67547A4"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2027</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C4A162C"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2028</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418DA5"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2029</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AE3CFEE"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2030</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0ACA0E5"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2031</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9A55D50"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2032</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7F9A406"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2033</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F164B79"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2034</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55A643C"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2034</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7C40E44"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2034</w:t>
            </w:r>
          </w:p>
        </w:tc>
        <w:tc>
          <w:tcPr>
            <w:tcW w:w="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7641095"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2035</w:t>
            </w:r>
          </w:p>
        </w:tc>
        <w:tc>
          <w:tcPr>
            <w:tcW w:w="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4DD01B6"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2036</w:t>
            </w:r>
          </w:p>
        </w:tc>
      </w:tr>
      <w:tr w:rsidR="003F5C1A" w14:paraId="0F669BAF" w14:textId="77777777" w:rsidTr="003F5C1A">
        <w:trPr>
          <w:trHeight w:val="89"/>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CA0BB21" w14:textId="77777777" w:rsidR="003F5C1A" w:rsidRDefault="003F5C1A">
            <w:pPr>
              <w:spacing w:line="240" w:lineRule="auto"/>
              <w:rPr>
                <w:rFonts w:ascii="Times New Roman" w:hAnsi="Times New Roman"/>
                <w:lang w:eastAsia="pl-PL"/>
              </w:rPr>
            </w:pPr>
            <w:r>
              <w:rPr>
                <w:rFonts w:ascii="Times New Roman" w:hAnsi="Times New Roman"/>
                <w:lang w:eastAsia="pl-PL"/>
              </w:rPr>
              <w:t>Inflacja (CPI)</w:t>
            </w:r>
          </w:p>
        </w:tc>
        <w:tc>
          <w:tcPr>
            <w:tcW w:w="931" w:type="dxa"/>
            <w:tcBorders>
              <w:top w:val="single" w:sz="4" w:space="0" w:color="auto"/>
              <w:left w:val="single" w:sz="4" w:space="0" w:color="auto"/>
              <w:bottom w:val="single" w:sz="4" w:space="0" w:color="auto"/>
              <w:right w:val="single" w:sz="4" w:space="0" w:color="auto"/>
            </w:tcBorders>
            <w:noWrap/>
            <w:hideMark/>
          </w:tcPr>
          <w:p w14:paraId="0D379B96" w14:textId="77777777" w:rsidR="003F5C1A" w:rsidRDefault="003F5C1A">
            <w:pPr>
              <w:spacing w:line="240" w:lineRule="auto"/>
              <w:rPr>
                <w:rFonts w:ascii="Times New Roman" w:hAnsi="Times New Roman"/>
                <w:lang w:eastAsia="pl-PL"/>
              </w:rPr>
            </w:pPr>
            <w:r>
              <w:rPr>
                <w:rFonts w:ascii="Times New Roman" w:hAnsi="Times New Roman"/>
                <w:lang w:eastAsia="pl-PL"/>
              </w:rPr>
              <w:t> </w:t>
            </w:r>
          </w:p>
        </w:tc>
        <w:tc>
          <w:tcPr>
            <w:tcW w:w="932" w:type="dxa"/>
            <w:tcBorders>
              <w:top w:val="single" w:sz="4" w:space="0" w:color="auto"/>
              <w:left w:val="single" w:sz="4" w:space="0" w:color="auto"/>
              <w:bottom w:val="single" w:sz="4" w:space="0" w:color="auto"/>
              <w:right w:val="single" w:sz="4" w:space="0" w:color="auto"/>
            </w:tcBorders>
            <w:noWrap/>
            <w:hideMark/>
          </w:tcPr>
          <w:p w14:paraId="29587E9E" w14:textId="77777777" w:rsidR="003F5C1A" w:rsidRDefault="003F5C1A">
            <w:pPr>
              <w:spacing w:line="240" w:lineRule="auto"/>
              <w:rPr>
                <w:rFonts w:ascii="Times New Roman" w:hAnsi="Times New Roman"/>
                <w:lang w:eastAsia="pl-PL"/>
              </w:rPr>
            </w:pPr>
            <w:r>
              <w:rPr>
                <w:rFonts w:ascii="Times New Roman" w:hAnsi="Times New Roman"/>
                <w:lang w:eastAsia="pl-PL"/>
              </w:rPr>
              <w:t>103,1</w:t>
            </w:r>
          </w:p>
        </w:tc>
        <w:tc>
          <w:tcPr>
            <w:tcW w:w="931" w:type="dxa"/>
            <w:tcBorders>
              <w:top w:val="single" w:sz="4" w:space="0" w:color="auto"/>
              <w:left w:val="single" w:sz="4" w:space="0" w:color="auto"/>
              <w:bottom w:val="single" w:sz="4" w:space="0" w:color="auto"/>
              <w:right w:val="single" w:sz="4" w:space="0" w:color="auto"/>
            </w:tcBorders>
            <w:noWrap/>
            <w:hideMark/>
          </w:tcPr>
          <w:p w14:paraId="42FE44EC" w14:textId="77777777" w:rsidR="003F5C1A" w:rsidRDefault="003F5C1A">
            <w:pPr>
              <w:spacing w:line="240" w:lineRule="auto"/>
              <w:rPr>
                <w:rFonts w:ascii="Times New Roman" w:hAnsi="Times New Roman"/>
                <w:lang w:eastAsia="pl-PL"/>
              </w:rPr>
            </w:pPr>
            <w:r>
              <w:rPr>
                <w:rFonts w:ascii="Times New Roman" w:hAnsi="Times New Roman"/>
                <w:lang w:eastAsia="pl-PL"/>
              </w:rPr>
              <w:t>102,6</w:t>
            </w:r>
          </w:p>
        </w:tc>
        <w:tc>
          <w:tcPr>
            <w:tcW w:w="932" w:type="dxa"/>
            <w:tcBorders>
              <w:top w:val="single" w:sz="4" w:space="0" w:color="auto"/>
              <w:left w:val="single" w:sz="4" w:space="0" w:color="auto"/>
              <w:bottom w:val="single" w:sz="4" w:space="0" w:color="auto"/>
              <w:right w:val="single" w:sz="4" w:space="0" w:color="auto"/>
            </w:tcBorders>
            <w:noWrap/>
            <w:hideMark/>
          </w:tcPr>
          <w:p w14:paraId="2FA6DD30"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1" w:type="dxa"/>
            <w:tcBorders>
              <w:top w:val="single" w:sz="4" w:space="0" w:color="auto"/>
              <w:left w:val="single" w:sz="4" w:space="0" w:color="auto"/>
              <w:bottom w:val="single" w:sz="4" w:space="0" w:color="auto"/>
              <w:right w:val="single" w:sz="4" w:space="0" w:color="auto"/>
            </w:tcBorders>
            <w:noWrap/>
            <w:hideMark/>
          </w:tcPr>
          <w:p w14:paraId="2F8050E8"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2" w:type="dxa"/>
            <w:tcBorders>
              <w:top w:val="single" w:sz="4" w:space="0" w:color="auto"/>
              <w:left w:val="single" w:sz="4" w:space="0" w:color="auto"/>
              <w:bottom w:val="single" w:sz="4" w:space="0" w:color="auto"/>
              <w:right w:val="single" w:sz="4" w:space="0" w:color="auto"/>
            </w:tcBorders>
            <w:noWrap/>
            <w:hideMark/>
          </w:tcPr>
          <w:p w14:paraId="68AC9F48"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1" w:type="dxa"/>
            <w:tcBorders>
              <w:top w:val="single" w:sz="4" w:space="0" w:color="auto"/>
              <w:left w:val="single" w:sz="4" w:space="0" w:color="auto"/>
              <w:bottom w:val="single" w:sz="4" w:space="0" w:color="auto"/>
              <w:right w:val="single" w:sz="4" w:space="0" w:color="auto"/>
            </w:tcBorders>
            <w:noWrap/>
            <w:hideMark/>
          </w:tcPr>
          <w:p w14:paraId="4167868A"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2" w:type="dxa"/>
            <w:tcBorders>
              <w:top w:val="single" w:sz="4" w:space="0" w:color="auto"/>
              <w:left w:val="single" w:sz="4" w:space="0" w:color="auto"/>
              <w:bottom w:val="single" w:sz="4" w:space="0" w:color="auto"/>
              <w:right w:val="single" w:sz="4" w:space="0" w:color="auto"/>
            </w:tcBorders>
            <w:noWrap/>
            <w:hideMark/>
          </w:tcPr>
          <w:p w14:paraId="3BA13FDD"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1" w:type="dxa"/>
            <w:tcBorders>
              <w:top w:val="single" w:sz="4" w:space="0" w:color="auto"/>
              <w:left w:val="single" w:sz="4" w:space="0" w:color="auto"/>
              <w:bottom w:val="single" w:sz="4" w:space="0" w:color="auto"/>
              <w:right w:val="single" w:sz="4" w:space="0" w:color="auto"/>
            </w:tcBorders>
            <w:noWrap/>
            <w:hideMark/>
          </w:tcPr>
          <w:p w14:paraId="341BD20F"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2" w:type="dxa"/>
            <w:tcBorders>
              <w:top w:val="single" w:sz="4" w:space="0" w:color="auto"/>
              <w:left w:val="single" w:sz="4" w:space="0" w:color="auto"/>
              <w:bottom w:val="single" w:sz="4" w:space="0" w:color="auto"/>
              <w:right w:val="single" w:sz="4" w:space="0" w:color="auto"/>
            </w:tcBorders>
            <w:noWrap/>
            <w:hideMark/>
          </w:tcPr>
          <w:p w14:paraId="2A565BF2"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1" w:type="dxa"/>
            <w:tcBorders>
              <w:top w:val="single" w:sz="4" w:space="0" w:color="auto"/>
              <w:left w:val="single" w:sz="4" w:space="0" w:color="auto"/>
              <w:bottom w:val="single" w:sz="4" w:space="0" w:color="auto"/>
              <w:right w:val="single" w:sz="4" w:space="0" w:color="auto"/>
            </w:tcBorders>
            <w:noWrap/>
            <w:hideMark/>
          </w:tcPr>
          <w:p w14:paraId="4E122C3A"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2" w:type="dxa"/>
            <w:tcBorders>
              <w:top w:val="single" w:sz="4" w:space="0" w:color="auto"/>
              <w:left w:val="single" w:sz="4" w:space="0" w:color="auto"/>
              <w:bottom w:val="single" w:sz="4" w:space="0" w:color="auto"/>
              <w:right w:val="single" w:sz="4" w:space="0" w:color="auto"/>
            </w:tcBorders>
            <w:noWrap/>
            <w:hideMark/>
          </w:tcPr>
          <w:p w14:paraId="2A379AB1"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1" w:type="dxa"/>
            <w:tcBorders>
              <w:top w:val="single" w:sz="4" w:space="0" w:color="auto"/>
              <w:left w:val="single" w:sz="4" w:space="0" w:color="auto"/>
              <w:bottom w:val="single" w:sz="4" w:space="0" w:color="auto"/>
              <w:right w:val="single" w:sz="4" w:space="0" w:color="auto"/>
            </w:tcBorders>
            <w:noWrap/>
            <w:hideMark/>
          </w:tcPr>
          <w:p w14:paraId="3236482D"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2" w:type="dxa"/>
            <w:tcBorders>
              <w:top w:val="single" w:sz="4" w:space="0" w:color="auto"/>
              <w:left w:val="single" w:sz="4" w:space="0" w:color="auto"/>
              <w:bottom w:val="single" w:sz="4" w:space="0" w:color="auto"/>
              <w:right w:val="single" w:sz="4" w:space="0" w:color="auto"/>
            </w:tcBorders>
            <w:noWrap/>
            <w:hideMark/>
          </w:tcPr>
          <w:p w14:paraId="677BB1F3"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r>
      <w:tr w:rsidR="003F5C1A" w14:paraId="50895EC6" w14:textId="77777777" w:rsidTr="003F5C1A">
        <w:trPr>
          <w:trHeight w:val="207"/>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E6F4B55" w14:textId="77777777" w:rsidR="003F5C1A" w:rsidRDefault="003F5C1A">
            <w:pPr>
              <w:spacing w:line="240" w:lineRule="auto"/>
              <w:rPr>
                <w:rFonts w:ascii="Times New Roman" w:hAnsi="Times New Roman"/>
                <w:lang w:eastAsia="pl-PL"/>
              </w:rPr>
            </w:pPr>
            <w:r>
              <w:rPr>
                <w:rFonts w:ascii="Times New Roman" w:hAnsi="Times New Roman"/>
                <w:lang w:eastAsia="pl-PL"/>
              </w:rPr>
              <w:t>Realna dynamika płac</w:t>
            </w:r>
          </w:p>
        </w:tc>
        <w:tc>
          <w:tcPr>
            <w:tcW w:w="931" w:type="dxa"/>
            <w:tcBorders>
              <w:top w:val="single" w:sz="4" w:space="0" w:color="auto"/>
              <w:left w:val="single" w:sz="4" w:space="0" w:color="auto"/>
              <w:bottom w:val="single" w:sz="4" w:space="0" w:color="auto"/>
              <w:right w:val="single" w:sz="4" w:space="0" w:color="auto"/>
            </w:tcBorders>
            <w:noWrap/>
            <w:hideMark/>
          </w:tcPr>
          <w:p w14:paraId="3EA9F603" w14:textId="77777777" w:rsidR="003F5C1A" w:rsidRDefault="003F5C1A">
            <w:pPr>
              <w:spacing w:line="240" w:lineRule="auto"/>
              <w:rPr>
                <w:rFonts w:ascii="Times New Roman" w:hAnsi="Times New Roman"/>
                <w:lang w:eastAsia="pl-PL"/>
              </w:rPr>
            </w:pPr>
            <w:r>
              <w:rPr>
                <w:rFonts w:ascii="Times New Roman" w:hAnsi="Times New Roman"/>
                <w:lang w:eastAsia="pl-PL"/>
              </w:rPr>
              <w:t> </w:t>
            </w:r>
          </w:p>
        </w:tc>
        <w:tc>
          <w:tcPr>
            <w:tcW w:w="932" w:type="dxa"/>
            <w:tcBorders>
              <w:top w:val="single" w:sz="4" w:space="0" w:color="auto"/>
              <w:left w:val="single" w:sz="4" w:space="0" w:color="auto"/>
              <w:bottom w:val="single" w:sz="4" w:space="0" w:color="auto"/>
              <w:right w:val="single" w:sz="4" w:space="0" w:color="auto"/>
            </w:tcBorders>
            <w:noWrap/>
            <w:hideMark/>
          </w:tcPr>
          <w:p w14:paraId="194FADEE" w14:textId="77777777" w:rsidR="003F5C1A" w:rsidRDefault="003F5C1A">
            <w:pPr>
              <w:spacing w:line="240" w:lineRule="auto"/>
              <w:rPr>
                <w:rFonts w:ascii="Times New Roman" w:hAnsi="Times New Roman"/>
                <w:lang w:eastAsia="pl-PL"/>
              </w:rPr>
            </w:pPr>
            <w:r>
              <w:rPr>
                <w:rFonts w:ascii="Times New Roman" w:hAnsi="Times New Roman"/>
                <w:lang w:eastAsia="pl-PL"/>
              </w:rPr>
              <w:t>103,1</w:t>
            </w:r>
          </w:p>
        </w:tc>
        <w:tc>
          <w:tcPr>
            <w:tcW w:w="931" w:type="dxa"/>
            <w:tcBorders>
              <w:top w:val="single" w:sz="4" w:space="0" w:color="auto"/>
              <w:left w:val="single" w:sz="4" w:space="0" w:color="auto"/>
              <w:bottom w:val="single" w:sz="4" w:space="0" w:color="auto"/>
              <w:right w:val="single" w:sz="4" w:space="0" w:color="auto"/>
            </w:tcBorders>
            <w:noWrap/>
            <w:hideMark/>
          </w:tcPr>
          <w:p w14:paraId="20D038F6" w14:textId="77777777" w:rsidR="003F5C1A" w:rsidRDefault="003F5C1A">
            <w:pPr>
              <w:spacing w:line="240" w:lineRule="auto"/>
              <w:rPr>
                <w:rFonts w:ascii="Times New Roman" w:hAnsi="Times New Roman"/>
                <w:lang w:eastAsia="pl-PL"/>
              </w:rPr>
            </w:pPr>
            <w:r>
              <w:rPr>
                <w:rFonts w:ascii="Times New Roman" w:hAnsi="Times New Roman"/>
                <w:lang w:eastAsia="pl-PL"/>
              </w:rPr>
              <w:t>103,1</w:t>
            </w:r>
          </w:p>
        </w:tc>
        <w:tc>
          <w:tcPr>
            <w:tcW w:w="932" w:type="dxa"/>
            <w:tcBorders>
              <w:top w:val="single" w:sz="4" w:space="0" w:color="auto"/>
              <w:left w:val="single" w:sz="4" w:space="0" w:color="auto"/>
              <w:bottom w:val="single" w:sz="4" w:space="0" w:color="auto"/>
              <w:right w:val="single" w:sz="4" w:space="0" w:color="auto"/>
            </w:tcBorders>
            <w:noWrap/>
            <w:hideMark/>
          </w:tcPr>
          <w:p w14:paraId="6F26035D" w14:textId="77777777" w:rsidR="003F5C1A" w:rsidRDefault="003F5C1A">
            <w:pPr>
              <w:spacing w:line="240" w:lineRule="auto"/>
              <w:rPr>
                <w:rFonts w:ascii="Times New Roman" w:hAnsi="Times New Roman"/>
                <w:lang w:eastAsia="pl-PL"/>
              </w:rPr>
            </w:pPr>
            <w:r>
              <w:rPr>
                <w:rFonts w:ascii="Times New Roman" w:hAnsi="Times New Roman"/>
                <w:lang w:eastAsia="pl-PL"/>
              </w:rPr>
              <w:t>102,8</w:t>
            </w:r>
          </w:p>
        </w:tc>
        <w:tc>
          <w:tcPr>
            <w:tcW w:w="931" w:type="dxa"/>
            <w:tcBorders>
              <w:top w:val="single" w:sz="4" w:space="0" w:color="auto"/>
              <w:left w:val="single" w:sz="4" w:space="0" w:color="auto"/>
              <w:bottom w:val="single" w:sz="4" w:space="0" w:color="auto"/>
              <w:right w:val="single" w:sz="4" w:space="0" w:color="auto"/>
            </w:tcBorders>
            <w:noWrap/>
            <w:hideMark/>
          </w:tcPr>
          <w:p w14:paraId="205C0A5D" w14:textId="77777777" w:rsidR="003F5C1A" w:rsidRDefault="003F5C1A">
            <w:pPr>
              <w:spacing w:line="240" w:lineRule="auto"/>
              <w:rPr>
                <w:rFonts w:ascii="Times New Roman" w:hAnsi="Times New Roman"/>
                <w:lang w:eastAsia="pl-PL"/>
              </w:rPr>
            </w:pPr>
            <w:r>
              <w:rPr>
                <w:rFonts w:ascii="Times New Roman" w:hAnsi="Times New Roman"/>
                <w:lang w:eastAsia="pl-PL"/>
              </w:rPr>
              <w:t>102,7</w:t>
            </w:r>
          </w:p>
        </w:tc>
        <w:tc>
          <w:tcPr>
            <w:tcW w:w="932" w:type="dxa"/>
            <w:tcBorders>
              <w:top w:val="single" w:sz="4" w:space="0" w:color="auto"/>
              <w:left w:val="single" w:sz="4" w:space="0" w:color="auto"/>
              <w:bottom w:val="single" w:sz="4" w:space="0" w:color="auto"/>
              <w:right w:val="single" w:sz="4" w:space="0" w:color="auto"/>
            </w:tcBorders>
            <w:noWrap/>
            <w:hideMark/>
          </w:tcPr>
          <w:p w14:paraId="060643C4" w14:textId="77777777" w:rsidR="003F5C1A" w:rsidRDefault="003F5C1A">
            <w:pPr>
              <w:spacing w:line="240" w:lineRule="auto"/>
              <w:rPr>
                <w:rFonts w:ascii="Times New Roman" w:hAnsi="Times New Roman"/>
                <w:lang w:eastAsia="pl-PL"/>
              </w:rPr>
            </w:pPr>
            <w:r>
              <w:rPr>
                <w:rFonts w:ascii="Times New Roman" w:hAnsi="Times New Roman"/>
                <w:lang w:eastAsia="pl-PL"/>
              </w:rPr>
              <w:t>102,7</w:t>
            </w:r>
          </w:p>
        </w:tc>
        <w:tc>
          <w:tcPr>
            <w:tcW w:w="931" w:type="dxa"/>
            <w:tcBorders>
              <w:top w:val="single" w:sz="4" w:space="0" w:color="auto"/>
              <w:left w:val="single" w:sz="4" w:space="0" w:color="auto"/>
              <w:bottom w:val="single" w:sz="4" w:space="0" w:color="auto"/>
              <w:right w:val="single" w:sz="4" w:space="0" w:color="auto"/>
            </w:tcBorders>
            <w:noWrap/>
            <w:hideMark/>
          </w:tcPr>
          <w:p w14:paraId="39626F99" w14:textId="77777777" w:rsidR="003F5C1A" w:rsidRDefault="003F5C1A">
            <w:pPr>
              <w:spacing w:line="240" w:lineRule="auto"/>
              <w:rPr>
                <w:rFonts w:ascii="Times New Roman" w:hAnsi="Times New Roman"/>
                <w:lang w:eastAsia="pl-PL"/>
              </w:rPr>
            </w:pPr>
            <w:r>
              <w:rPr>
                <w:rFonts w:ascii="Times New Roman" w:hAnsi="Times New Roman"/>
                <w:lang w:eastAsia="pl-PL"/>
              </w:rPr>
              <w:t>102,6</w:t>
            </w:r>
          </w:p>
        </w:tc>
        <w:tc>
          <w:tcPr>
            <w:tcW w:w="932" w:type="dxa"/>
            <w:tcBorders>
              <w:top w:val="single" w:sz="4" w:space="0" w:color="auto"/>
              <w:left w:val="single" w:sz="4" w:space="0" w:color="auto"/>
              <w:bottom w:val="single" w:sz="4" w:space="0" w:color="auto"/>
              <w:right w:val="single" w:sz="4" w:space="0" w:color="auto"/>
            </w:tcBorders>
            <w:noWrap/>
            <w:hideMark/>
          </w:tcPr>
          <w:p w14:paraId="10601FAB"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1" w:type="dxa"/>
            <w:tcBorders>
              <w:top w:val="single" w:sz="4" w:space="0" w:color="auto"/>
              <w:left w:val="single" w:sz="4" w:space="0" w:color="auto"/>
              <w:bottom w:val="single" w:sz="4" w:space="0" w:color="auto"/>
              <w:right w:val="single" w:sz="4" w:space="0" w:color="auto"/>
            </w:tcBorders>
            <w:noWrap/>
            <w:hideMark/>
          </w:tcPr>
          <w:p w14:paraId="52ABA9DA" w14:textId="77777777" w:rsidR="003F5C1A" w:rsidRDefault="003F5C1A">
            <w:pPr>
              <w:spacing w:line="240" w:lineRule="auto"/>
              <w:rPr>
                <w:rFonts w:ascii="Times New Roman" w:hAnsi="Times New Roman"/>
                <w:lang w:eastAsia="pl-PL"/>
              </w:rPr>
            </w:pPr>
            <w:r>
              <w:rPr>
                <w:rFonts w:ascii="Times New Roman" w:hAnsi="Times New Roman"/>
                <w:lang w:eastAsia="pl-PL"/>
              </w:rPr>
              <w:t>102,5</w:t>
            </w:r>
          </w:p>
        </w:tc>
        <w:tc>
          <w:tcPr>
            <w:tcW w:w="932" w:type="dxa"/>
            <w:tcBorders>
              <w:top w:val="single" w:sz="4" w:space="0" w:color="auto"/>
              <w:left w:val="single" w:sz="4" w:space="0" w:color="auto"/>
              <w:bottom w:val="single" w:sz="4" w:space="0" w:color="auto"/>
              <w:right w:val="single" w:sz="4" w:space="0" w:color="auto"/>
            </w:tcBorders>
            <w:noWrap/>
            <w:hideMark/>
          </w:tcPr>
          <w:p w14:paraId="1E9FFC05" w14:textId="77777777" w:rsidR="003F5C1A" w:rsidRDefault="003F5C1A">
            <w:pPr>
              <w:spacing w:line="240" w:lineRule="auto"/>
              <w:rPr>
                <w:rFonts w:ascii="Times New Roman" w:hAnsi="Times New Roman"/>
                <w:lang w:eastAsia="pl-PL"/>
              </w:rPr>
            </w:pPr>
            <w:r>
              <w:rPr>
                <w:rFonts w:ascii="Times New Roman" w:hAnsi="Times New Roman"/>
                <w:lang w:eastAsia="pl-PL"/>
              </w:rPr>
              <w:t>102,4</w:t>
            </w:r>
          </w:p>
        </w:tc>
        <w:tc>
          <w:tcPr>
            <w:tcW w:w="931" w:type="dxa"/>
            <w:tcBorders>
              <w:top w:val="single" w:sz="4" w:space="0" w:color="auto"/>
              <w:left w:val="single" w:sz="4" w:space="0" w:color="auto"/>
              <w:bottom w:val="single" w:sz="4" w:space="0" w:color="auto"/>
              <w:right w:val="single" w:sz="4" w:space="0" w:color="auto"/>
            </w:tcBorders>
            <w:noWrap/>
            <w:hideMark/>
          </w:tcPr>
          <w:p w14:paraId="7A940DE6" w14:textId="77777777" w:rsidR="003F5C1A" w:rsidRDefault="003F5C1A">
            <w:pPr>
              <w:spacing w:line="240" w:lineRule="auto"/>
              <w:rPr>
                <w:rFonts w:ascii="Times New Roman" w:hAnsi="Times New Roman"/>
                <w:lang w:eastAsia="pl-PL"/>
              </w:rPr>
            </w:pPr>
            <w:r>
              <w:rPr>
                <w:rFonts w:ascii="Times New Roman" w:hAnsi="Times New Roman"/>
                <w:lang w:eastAsia="pl-PL"/>
              </w:rPr>
              <w:t>102,4</w:t>
            </w:r>
          </w:p>
        </w:tc>
        <w:tc>
          <w:tcPr>
            <w:tcW w:w="932" w:type="dxa"/>
            <w:tcBorders>
              <w:top w:val="single" w:sz="4" w:space="0" w:color="auto"/>
              <w:left w:val="single" w:sz="4" w:space="0" w:color="auto"/>
              <w:bottom w:val="single" w:sz="4" w:space="0" w:color="auto"/>
              <w:right w:val="single" w:sz="4" w:space="0" w:color="auto"/>
            </w:tcBorders>
            <w:noWrap/>
            <w:hideMark/>
          </w:tcPr>
          <w:p w14:paraId="1CE638B4" w14:textId="77777777" w:rsidR="003F5C1A" w:rsidRDefault="003F5C1A">
            <w:pPr>
              <w:spacing w:line="240" w:lineRule="auto"/>
              <w:rPr>
                <w:rFonts w:ascii="Times New Roman" w:hAnsi="Times New Roman"/>
                <w:lang w:eastAsia="pl-PL"/>
              </w:rPr>
            </w:pPr>
            <w:r>
              <w:rPr>
                <w:rFonts w:ascii="Times New Roman" w:hAnsi="Times New Roman"/>
                <w:lang w:eastAsia="pl-PL"/>
              </w:rPr>
              <w:t>102,4</w:t>
            </w:r>
          </w:p>
        </w:tc>
        <w:tc>
          <w:tcPr>
            <w:tcW w:w="931" w:type="dxa"/>
            <w:tcBorders>
              <w:top w:val="single" w:sz="4" w:space="0" w:color="auto"/>
              <w:left w:val="single" w:sz="4" w:space="0" w:color="auto"/>
              <w:bottom w:val="single" w:sz="4" w:space="0" w:color="auto"/>
              <w:right w:val="single" w:sz="4" w:space="0" w:color="auto"/>
            </w:tcBorders>
            <w:noWrap/>
            <w:hideMark/>
          </w:tcPr>
          <w:p w14:paraId="471A0684" w14:textId="77777777" w:rsidR="003F5C1A" w:rsidRDefault="003F5C1A">
            <w:pPr>
              <w:spacing w:line="240" w:lineRule="auto"/>
              <w:rPr>
                <w:rFonts w:ascii="Times New Roman" w:hAnsi="Times New Roman"/>
                <w:lang w:eastAsia="pl-PL"/>
              </w:rPr>
            </w:pPr>
            <w:r>
              <w:rPr>
                <w:rFonts w:ascii="Times New Roman" w:hAnsi="Times New Roman"/>
                <w:lang w:eastAsia="pl-PL"/>
              </w:rPr>
              <w:t>102,4</w:t>
            </w:r>
          </w:p>
        </w:tc>
        <w:tc>
          <w:tcPr>
            <w:tcW w:w="932" w:type="dxa"/>
            <w:tcBorders>
              <w:top w:val="single" w:sz="4" w:space="0" w:color="auto"/>
              <w:left w:val="single" w:sz="4" w:space="0" w:color="auto"/>
              <w:bottom w:val="single" w:sz="4" w:space="0" w:color="auto"/>
              <w:right w:val="single" w:sz="4" w:space="0" w:color="auto"/>
            </w:tcBorders>
            <w:noWrap/>
            <w:hideMark/>
          </w:tcPr>
          <w:p w14:paraId="4C78C77A" w14:textId="77777777" w:rsidR="003F5C1A" w:rsidRDefault="003F5C1A">
            <w:pPr>
              <w:spacing w:line="240" w:lineRule="auto"/>
              <w:rPr>
                <w:rFonts w:ascii="Times New Roman" w:hAnsi="Times New Roman"/>
                <w:lang w:eastAsia="pl-PL"/>
              </w:rPr>
            </w:pPr>
            <w:r>
              <w:rPr>
                <w:rFonts w:ascii="Times New Roman" w:hAnsi="Times New Roman"/>
                <w:lang w:eastAsia="pl-PL"/>
              </w:rPr>
              <w:t>102,4</w:t>
            </w:r>
          </w:p>
        </w:tc>
      </w:tr>
      <w:tr w:rsidR="003F5C1A" w14:paraId="376964AC" w14:textId="77777777" w:rsidTr="003F5C1A">
        <w:trPr>
          <w:trHeight w:val="18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05A866" w14:textId="77777777" w:rsidR="003F5C1A" w:rsidRDefault="003F5C1A">
            <w:pPr>
              <w:spacing w:line="240" w:lineRule="auto"/>
              <w:rPr>
                <w:rFonts w:ascii="Times New Roman" w:hAnsi="Times New Roman"/>
                <w:lang w:eastAsia="pl-PL"/>
              </w:rPr>
            </w:pPr>
            <w:r>
              <w:rPr>
                <w:rFonts w:ascii="Times New Roman" w:hAnsi="Times New Roman"/>
                <w:lang w:eastAsia="pl-PL"/>
              </w:rPr>
              <w:t>Nominalna dynamika płac</w:t>
            </w:r>
          </w:p>
        </w:tc>
        <w:tc>
          <w:tcPr>
            <w:tcW w:w="931" w:type="dxa"/>
            <w:tcBorders>
              <w:top w:val="single" w:sz="4" w:space="0" w:color="auto"/>
              <w:left w:val="single" w:sz="4" w:space="0" w:color="auto"/>
              <w:bottom w:val="single" w:sz="4" w:space="0" w:color="auto"/>
              <w:right w:val="single" w:sz="4" w:space="0" w:color="auto"/>
            </w:tcBorders>
            <w:noWrap/>
            <w:hideMark/>
          </w:tcPr>
          <w:p w14:paraId="111A1C10" w14:textId="77777777" w:rsidR="003F5C1A" w:rsidRDefault="003F5C1A">
            <w:pPr>
              <w:spacing w:line="240" w:lineRule="auto"/>
              <w:rPr>
                <w:rFonts w:ascii="Times New Roman" w:hAnsi="Times New Roman"/>
                <w:lang w:eastAsia="pl-PL"/>
              </w:rPr>
            </w:pPr>
            <w:r>
              <w:rPr>
                <w:rFonts w:ascii="Times New Roman" w:hAnsi="Times New Roman"/>
                <w:lang w:eastAsia="pl-PL"/>
              </w:rPr>
              <w:t>105,0</w:t>
            </w:r>
          </w:p>
        </w:tc>
        <w:tc>
          <w:tcPr>
            <w:tcW w:w="932" w:type="dxa"/>
            <w:tcBorders>
              <w:top w:val="single" w:sz="4" w:space="0" w:color="auto"/>
              <w:left w:val="single" w:sz="4" w:space="0" w:color="auto"/>
              <w:bottom w:val="single" w:sz="4" w:space="0" w:color="auto"/>
              <w:right w:val="single" w:sz="4" w:space="0" w:color="auto"/>
            </w:tcBorders>
            <w:noWrap/>
            <w:hideMark/>
          </w:tcPr>
          <w:p w14:paraId="31B33E79" w14:textId="77777777" w:rsidR="003F5C1A" w:rsidRDefault="003F5C1A">
            <w:pPr>
              <w:spacing w:line="240" w:lineRule="auto"/>
              <w:rPr>
                <w:rFonts w:ascii="Times New Roman" w:hAnsi="Times New Roman"/>
                <w:lang w:eastAsia="pl-PL"/>
              </w:rPr>
            </w:pPr>
            <w:r>
              <w:rPr>
                <w:rFonts w:ascii="Times New Roman" w:hAnsi="Times New Roman"/>
                <w:lang w:eastAsia="pl-PL"/>
              </w:rPr>
              <w:t>106,3</w:t>
            </w:r>
          </w:p>
        </w:tc>
        <w:tc>
          <w:tcPr>
            <w:tcW w:w="931" w:type="dxa"/>
            <w:tcBorders>
              <w:top w:val="single" w:sz="4" w:space="0" w:color="auto"/>
              <w:left w:val="single" w:sz="4" w:space="0" w:color="auto"/>
              <w:bottom w:val="single" w:sz="4" w:space="0" w:color="auto"/>
              <w:right w:val="single" w:sz="4" w:space="0" w:color="auto"/>
            </w:tcBorders>
            <w:noWrap/>
            <w:hideMark/>
          </w:tcPr>
          <w:p w14:paraId="44706553" w14:textId="77777777" w:rsidR="003F5C1A" w:rsidRDefault="003F5C1A">
            <w:pPr>
              <w:spacing w:line="240" w:lineRule="auto"/>
              <w:rPr>
                <w:rFonts w:ascii="Times New Roman" w:hAnsi="Times New Roman"/>
                <w:lang w:eastAsia="pl-PL"/>
              </w:rPr>
            </w:pPr>
            <w:r>
              <w:rPr>
                <w:rFonts w:ascii="Times New Roman" w:hAnsi="Times New Roman"/>
                <w:lang w:eastAsia="pl-PL"/>
              </w:rPr>
              <w:t>105,8</w:t>
            </w:r>
          </w:p>
        </w:tc>
        <w:tc>
          <w:tcPr>
            <w:tcW w:w="932" w:type="dxa"/>
            <w:tcBorders>
              <w:top w:val="single" w:sz="4" w:space="0" w:color="auto"/>
              <w:left w:val="single" w:sz="4" w:space="0" w:color="auto"/>
              <w:bottom w:val="single" w:sz="4" w:space="0" w:color="auto"/>
              <w:right w:val="single" w:sz="4" w:space="0" w:color="auto"/>
            </w:tcBorders>
            <w:noWrap/>
            <w:hideMark/>
          </w:tcPr>
          <w:p w14:paraId="26EBF1ED" w14:textId="77777777" w:rsidR="003F5C1A" w:rsidRDefault="003F5C1A">
            <w:pPr>
              <w:spacing w:line="240" w:lineRule="auto"/>
              <w:rPr>
                <w:rFonts w:ascii="Times New Roman" w:hAnsi="Times New Roman"/>
                <w:lang w:eastAsia="pl-PL"/>
              </w:rPr>
            </w:pPr>
            <w:r>
              <w:rPr>
                <w:rFonts w:ascii="Times New Roman" w:hAnsi="Times New Roman"/>
                <w:lang w:eastAsia="pl-PL"/>
              </w:rPr>
              <w:t>105,3</w:t>
            </w:r>
          </w:p>
        </w:tc>
        <w:tc>
          <w:tcPr>
            <w:tcW w:w="931" w:type="dxa"/>
            <w:tcBorders>
              <w:top w:val="single" w:sz="4" w:space="0" w:color="auto"/>
              <w:left w:val="single" w:sz="4" w:space="0" w:color="auto"/>
              <w:bottom w:val="single" w:sz="4" w:space="0" w:color="auto"/>
              <w:right w:val="single" w:sz="4" w:space="0" w:color="auto"/>
            </w:tcBorders>
            <w:noWrap/>
            <w:hideMark/>
          </w:tcPr>
          <w:p w14:paraId="44ACE398" w14:textId="77777777" w:rsidR="003F5C1A" w:rsidRDefault="003F5C1A">
            <w:pPr>
              <w:spacing w:line="240" w:lineRule="auto"/>
              <w:rPr>
                <w:rFonts w:ascii="Times New Roman" w:hAnsi="Times New Roman"/>
                <w:lang w:eastAsia="pl-PL"/>
              </w:rPr>
            </w:pPr>
            <w:r>
              <w:rPr>
                <w:rFonts w:ascii="Times New Roman" w:hAnsi="Times New Roman"/>
                <w:lang w:eastAsia="pl-PL"/>
              </w:rPr>
              <w:t>105,3</w:t>
            </w:r>
          </w:p>
        </w:tc>
        <w:tc>
          <w:tcPr>
            <w:tcW w:w="932" w:type="dxa"/>
            <w:tcBorders>
              <w:top w:val="single" w:sz="4" w:space="0" w:color="auto"/>
              <w:left w:val="single" w:sz="4" w:space="0" w:color="auto"/>
              <w:bottom w:val="single" w:sz="4" w:space="0" w:color="auto"/>
              <w:right w:val="single" w:sz="4" w:space="0" w:color="auto"/>
            </w:tcBorders>
            <w:noWrap/>
            <w:hideMark/>
          </w:tcPr>
          <w:p w14:paraId="37A41789" w14:textId="77777777" w:rsidR="003F5C1A" w:rsidRDefault="003F5C1A">
            <w:pPr>
              <w:spacing w:line="240" w:lineRule="auto"/>
              <w:rPr>
                <w:rFonts w:ascii="Times New Roman" w:hAnsi="Times New Roman"/>
                <w:lang w:eastAsia="pl-PL"/>
              </w:rPr>
            </w:pPr>
            <w:r>
              <w:rPr>
                <w:rFonts w:ascii="Times New Roman" w:hAnsi="Times New Roman"/>
                <w:lang w:eastAsia="pl-PL"/>
              </w:rPr>
              <w:t>105,2</w:t>
            </w:r>
          </w:p>
        </w:tc>
        <w:tc>
          <w:tcPr>
            <w:tcW w:w="931" w:type="dxa"/>
            <w:tcBorders>
              <w:top w:val="single" w:sz="4" w:space="0" w:color="auto"/>
              <w:left w:val="single" w:sz="4" w:space="0" w:color="auto"/>
              <w:bottom w:val="single" w:sz="4" w:space="0" w:color="auto"/>
              <w:right w:val="single" w:sz="4" w:space="0" w:color="auto"/>
            </w:tcBorders>
            <w:noWrap/>
            <w:hideMark/>
          </w:tcPr>
          <w:p w14:paraId="2D27AA07" w14:textId="77777777" w:rsidR="003F5C1A" w:rsidRDefault="003F5C1A">
            <w:pPr>
              <w:spacing w:line="240" w:lineRule="auto"/>
              <w:rPr>
                <w:rFonts w:ascii="Times New Roman" w:hAnsi="Times New Roman"/>
                <w:lang w:eastAsia="pl-PL"/>
              </w:rPr>
            </w:pPr>
            <w:r>
              <w:rPr>
                <w:rFonts w:ascii="Times New Roman" w:hAnsi="Times New Roman"/>
                <w:lang w:eastAsia="pl-PL"/>
              </w:rPr>
              <w:t>105,2</w:t>
            </w:r>
          </w:p>
        </w:tc>
        <w:tc>
          <w:tcPr>
            <w:tcW w:w="932" w:type="dxa"/>
            <w:tcBorders>
              <w:top w:val="single" w:sz="4" w:space="0" w:color="auto"/>
              <w:left w:val="single" w:sz="4" w:space="0" w:color="auto"/>
              <w:bottom w:val="single" w:sz="4" w:space="0" w:color="auto"/>
              <w:right w:val="single" w:sz="4" w:space="0" w:color="auto"/>
            </w:tcBorders>
            <w:noWrap/>
            <w:hideMark/>
          </w:tcPr>
          <w:p w14:paraId="65B29E6A" w14:textId="77777777" w:rsidR="003F5C1A" w:rsidRDefault="003F5C1A">
            <w:pPr>
              <w:spacing w:line="240" w:lineRule="auto"/>
              <w:rPr>
                <w:rFonts w:ascii="Times New Roman" w:hAnsi="Times New Roman"/>
                <w:lang w:eastAsia="pl-PL"/>
              </w:rPr>
            </w:pPr>
            <w:r>
              <w:rPr>
                <w:rFonts w:ascii="Times New Roman" w:hAnsi="Times New Roman"/>
                <w:lang w:eastAsia="pl-PL"/>
              </w:rPr>
              <w:t>105,1</w:t>
            </w:r>
          </w:p>
        </w:tc>
        <w:tc>
          <w:tcPr>
            <w:tcW w:w="931" w:type="dxa"/>
            <w:tcBorders>
              <w:top w:val="single" w:sz="4" w:space="0" w:color="auto"/>
              <w:left w:val="single" w:sz="4" w:space="0" w:color="auto"/>
              <w:bottom w:val="single" w:sz="4" w:space="0" w:color="auto"/>
              <w:right w:val="single" w:sz="4" w:space="0" w:color="auto"/>
            </w:tcBorders>
            <w:noWrap/>
            <w:hideMark/>
          </w:tcPr>
          <w:p w14:paraId="10743A7A" w14:textId="77777777" w:rsidR="003F5C1A" w:rsidRDefault="003F5C1A">
            <w:pPr>
              <w:spacing w:line="240" w:lineRule="auto"/>
              <w:rPr>
                <w:rFonts w:ascii="Times New Roman" w:hAnsi="Times New Roman"/>
                <w:lang w:eastAsia="pl-PL"/>
              </w:rPr>
            </w:pPr>
            <w:r>
              <w:rPr>
                <w:rFonts w:ascii="Times New Roman" w:hAnsi="Times New Roman"/>
                <w:lang w:eastAsia="pl-PL"/>
              </w:rPr>
              <w:t>105,0</w:t>
            </w:r>
          </w:p>
        </w:tc>
        <w:tc>
          <w:tcPr>
            <w:tcW w:w="932" w:type="dxa"/>
            <w:tcBorders>
              <w:top w:val="single" w:sz="4" w:space="0" w:color="auto"/>
              <w:left w:val="single" w:sz="4" w:space="0" w:color="auto"/>
              <w:bottom w:val="single" w:sz="4" w:space="0" w:color="auto"/>
              <w:right w:val="single" w:sz="4" w:space="0" w:color="auto"/>
            </w:tcBorders>
            <w:noWrap/>
            <w:hideMark/>
          </w:tcPr>
          <w:p w14:paraId="55F4185C" w14:textId="77777777" w:rsidR="003F5C1A" w:rsidRDefault="003F5C1A">
            <w:pPr>
              <w:spacing w:line="240" w:lineRule="auto"/>
              <w:rPr>
                <w:rFonts w:ascii="Times New Roman" w:hAnsi="Times New Roman"/>
                <w:lang w:eastAsia="pl-PL"/>
              </w:rPr>
            </w:pPr>
            <w:r>
              <w:rPr>
                <w:rFonts w:ascii="Times New Roman" w:hAnsi="Times New Roman"/>
                <w:lang w:eastAsia="pl-PL"/>
              </w:rPr>
              <w:t>105,0</w:t>
            </w:r>
          </w:p>
        </w:tc>
        <w:tc>
          <w:tcPr>
            <w:tcW w:w="931" w:type="dxa"/>
            <w:tcBorders>
              <w:top w:val="single" w:sz="4" w:space="0" w:color="auto"/>
              <w:left w:val="single" w:sz="4" w:space="0" w:color="auto"/>
              <w:bottom w:val="single" w:sz="4" w:space="0" w:color="auto"/>
              <w:right w:val="single" w:sz="4" w:space="0" w:color="auto"/>
            </w:tcBorders>
            <w:noWrap/>
            <w:hideMark/>
          </w:tcPr>
          <w:p w14:paraId="10576A8D" w14:textId="77777777" w:rsidR="003F5C1A" w:rsidRDefault="003F5C1A">
            <w:pPr>
              <w:spacing w:line="240" w:lineRule="auto"/>
              <w:rPr>
                <w:rFonts w:ascii="Times New Roman" w:hAnsi="Times New Roman"/>
                <w:lang w:eastAsia="pl-PL"/>
              </w:rPr>
            </w:pPr>
            <w:r>
              <w:rPr>
                <w:rFonts w:ascii="Times New Roman" w:hAnsi="Times New Roman"/>
                <w:lang w:eastAsia="pl-PL"/>
              </w:rPr>
              <w:t>105,0</w:t>
            </w:r>
          </w:p>
        </w:tc>
        <w:tc>
          <w:tcPr>
            <w:tcW w:w="932" w:type="dxa"/>
            <w:tcBorders>
              <w:top w:val="single" w:sz="4" w:space="0" w:color="auto"/>
              <w:left w:val="single" w:sz="4" w:space="0" w:color="auto"/>
              <w:bottom w:val="single" w:sz="4" w:space="0" w:color="auto"/>
              <w:right w:val="single" w:sz="4" w:space="0" w:color="auto"/>
            </w:tcBorders>
            <w:noWrap/>
            <w:hideMark/>
          </w:tcPr>
          <w:p w14:paraId="049F50A2" w14:textId="77777777" w:rsidR="003F5C1A" w:rsidRDefault="003F5C1A">
            <w:pPr>
              <w:spacing w:line="240" w:lineRule="auto"/>
              <w:rPr>
                <w:rFonts w:ascii="Times New Roman" w:hAnsi="Times New Roman"/>
                <w:lang w:eastAsia="pl-PL"/>
              </w:rPr>
            </w:pPr>
            <w:r>
              <w:rPr>
                <w:rFonts w:ascii="Times New Roman" w:hAnsi="Times New Roman"/>
                <w:lang w:eastAsia="pl-PL"/>
              </w:rPr>
              <w:t>105,0</w:t>
            </w:r>
          </w:p>
        </w:tc>
        <w:tc>
          <w:tcPr>
            <w:tcW w:w="931" w:type="dxa"/>
            <w:tcBorders>
              <w:top w:val="single" w:sz="4" w:space="0" w:color="auto"/>
              <w:left w:val="single" w:sz="4" w:space="0" w:color="auto"/>
              <w:bottom w:val="single" w:sz="4" w:space="0" w:color="auto"/>
              <w:right w:val="single" w:sz="4" w:space="0" w:color="auto"/>
            </w:tcBorders>
            <w:noWrap/>
            <w:hideMark/>
          </w:tcPr>
          <w:p w14:paraId="6EE50D2C" w14:textId="77777777" w:rsidR="003F5C1A" w:rsidRDefault="003F5C1A">
            <w:pPr>
              <w:spacing w:line="240" w:lineRule="auto"/>
              <w:rPr>
                <w:rFonts w:ascii="Times New Roman" w:hAnsi="Times New Roman"/>
                <w:lang w:eastAsia="pl-PL"/>
              </w:rPr>
            </w:pPr>
            <w:r>
              <w:rPr>
                <w:rFonts w:ascii="Times New Roman" w:hAnsi="Times New Roman"/>
                <w:lang w:eastAsia="pl-PL"/>
              </w:rPr>
              <w:t>105,0</w:t>
            </w:r>
          </w:p>
        </w:tc>
        <w:tc>
          <w:tcPr>
            <w:tcW w:w="932" w:type="dxa"/>
            <w:tcBorders>
              <w:top w:val="single" w:sz="4" w:space="0" w:color="auto"/>
              <w:left w:val="single" w:sz="4" w:space="0" w:color="auto"/>
              <w:bottom w:val="single" w:sz="4" w:space="0" w:color="auto"/>
              <w:right w:val="single" w:sz="4" w:space="0" w:color="auto"/>
            </w:tcBorders>
            <w:noWrap/>
            <w:hideMark/>
          </w:tcPr>
          <w:p w14:paraId="64374545" w14:textId="77777777" w:rsidR="003F5C1A" w:rsidRDefault="003F5C1A">
            <w:pPr>
              <w:spacing w:line="240" w:lineRule="auto"/>
              <w:rPr>
                <w:rFonts w:ascii="Times New Roman" w:hAnsi="Times New Roman"/>
                <w:lang w:eastAsia="pl-PL"/>
              </w:rPr>
            </w:pPr>
            <w:r>
              <w:rPr>
                <w:rFonts w:ascii="Times New Roman" w:hAnsi="Times New Roman"/>
                <w:lang w:eastAsia="pl-PL"/>
              </w:rPr>
              <w:t>105,0</w:t>
            </w:r>
          </w:p>
        </w:tc>
      </w:tr>
      <w:tr w:rsidR="003F5C1A" w14:paraId="5F651564" w14:textId="77777777" w:rsidTr="003F5C1A">
        <w:trPr>
          <w:trHeight w:val="428"/>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7F6F2" w14:textId="77777777" w:rsidR="003F5C1A" w:rsidRDefault="003F5C1A">
            <w:pPr>
              <w:spacing w:line="240" w:lineRule="auto"/>
              <w:rPr>
                <w:rFonts w:ascii="Times New Roman" w:hAnsi="Times New Roman"/>
                <w:lang w:eastAsia="pl-PL"/>
              </w:rPr>
            </w:pPr>
            <w:r>
              <w:rPr>
                <w:rFonts w:ascii="Times New Roman" w:hAnsi="Times New Roman"/>
                <w:lang w:eastAsia="pl-PL"/>
              </w:rPr>
              <w:t>miesięczne wynagrodzenie wraz z waloryzacją o wskaźnik makroekonomiczne</w:t>
            </w:r>
          </w:p>
        </w:tc>
        <w:tc>
          <w:tcPr>
            <w:tcW w:w="931" w:type="dxa"/>
            <w:tcBorders>
              <w:top w:val="single" w:sz="4" w:space="0" w:color="auto"/>
              <w:left w:val="single" w:sz="4" w:space="0" w:color="auto"/>
              <w:bottom w:val="single" w:sz="4" w:space="0" w:color="auto"/>
              <w:right w:val="single" w:sz="4" w:space="0" w:color="auto"/>
            </w:tcBorders>
            <w:noWrap/>
            <w:hideMark/>
          </w:tcPr>
          <w:p w14:paraId="20D9814D"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9 659,90 zł</w:t>
            </w:r>
          </w:p>
        </w:tc>
        <w:tc>
          <w:tcPr>
            <w:tcW w:w="932" w:type="dxa"/>
            <w:tcBorders>
              <w:top w:val="single" w:sz="4" w:space="0" w:color="auto"/>
              <w:left w:val="single" w:sz="4" w:space="0" w:color="auto"/>
              <w:bottom w:val="single" w:sz="4" w:space="0" w:color="auto"/>
              <w:right w:val="single" w:sz="4" w:space="0" w:color="auto"/>
            </w:tcBorders>
            <w:noWrap/>
            <w:hideMark/>
          </w:tcPr>
          <w:p w14:paraId="53422337"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10 266,42 zł</w:t>
            </w:r>
          </w:p>
        </w:tc>
        <w:tc>
          <w:tcPr>
            <w:tcW w:w="931" w:type="dxa"/>
            <w:tcBorders>
              <w:top w:val="single" w:sz="4" w:space="0" w:color="auto"/>
              <w:left w:val="single" w:sz="4" w:space="0" w:color="auto"/>
              <w:bottom w:val="single" w:sz="4" w:space="0" w:color="auto"/>
              <w:right w:val="single" w:sz="4" w:space="0" w:color="auto"/>
            </w:tcBorders>
            <w:noWrap/>
            <w:hideMark/>
          </w:tcPr>
          <w:p w14:paraId="2B4DD052"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10 857,38 zł</w:t>
            </w:r>
          </w:p>
        </w:tc>
        <w:tc>
          <w:tcPr>
            <w:tcW w:w="932" w:type="dxa"/>
            <w:tcBorders>
              <w:top w:val="single" w:sz="4" w:space="0" w:color="auto"/>
              <w:left w:val="single" w:sz="4" w:space="0" w:color="auto"/>
              <w:bottom w:val="single" w:sz="4" w:space="0" w:color="auto"/>
              <w:right w:val="single" w:sz="4" w:space="0" w:color="auto"/>
            </w:tcBorders>
            <w:noWrap/>
            <w:hideMark/>
          </w:tcPr>
          <w:p w14:paraId="633D9D5F"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11 437,11 zł</w:t>
            </w:r>
          </w:p>
        </w:tc>
        <w:tc>
          <w:tcPr>
            <w:tcW w:w="931" w:type="dxa"/>
            <w:tcBorders>
              <w:top w:val="single" w:sz="4" w:space="0" w:color="auto"/>
              <w:left w:val="single" w:sz="4" w:space="0" w:color="auto"/>
              <w:bottom w:val="single" w:sz="4" w:space="0" w:color="auto"/>
              <w:right w:val="single" w:sz="4" w:space="0" w:color="auto"/>
            </w:tcBorders>
            <w:noWrap/>
            <w:hideMark/>
          </w:tcPr>
          <w:p w14:paraId="4DCB3F92"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12 041,15 zł</w:t>
            </w:r>
          </w:p>
        </w:tc>
        <w:tc>
          <w:tcPr>
            <w:tcW w:w="932" w:type="dxa"/>
            <w:tcBorders>
              <w:top w:val="single" w:sz="4" w:space="0" w:color="auto"/>
              <w:left w:val="single" w:sz="4" w:space="0" w:color="auto"/>
              <w:bottom w:val="single" w:sz="4" w:space="0" w:color="auto"/>
              <w:right w:val="single" w:sz="4" w:space="0" w:color="auto"/>
            </w:tcBorders>
            <w:noWrap/>
            <w:hideMark/>
          </w:tcPr>
          <w:p w14:paraId="095299C3"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12 670,07 zł</w:t>
            </w:r>
          </w:p>
        </w:tc>
        <w:tc>
          <w:tcPr>
            <w:tcW w:w="931" w:type="dxa"/>
            <w:tcBorders>
              <w:top w:val="single" w:sz="4" w:space="0" w:color="auto"/>
              <w:left w:val="single" w:sz="4" w:space="0" w:color="auto"/>
              <w:bottom w:val="single" w:sz="4" w:space="0" w:color="auto"/>
              <w:right w:val="single" w:sz="4" w:space="0" w:color="auto"/>
            </w:tcBorders>
            <w:noWrap/>
            <w:hideMark/>
          </w:tcPr>
          <w:p w14:paraId="40E17986"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13 324,48 zł</w:t>
            </w:r>
          </w:p>
        </w:tc>
        <w:tc>
          <w:tcPr>
            <w:tcW w:w="932" w:type="dxa"/>
            <w:tcBorders>
              <w:top w:val="single" w:sz="4" w:space="0" w:color="auto"/>
              <w:left w:val="single" w:sz="4" w:space="0" w:color="auto"/>
              <w:bottom w:val="single" w:sz="4" w:space="0" w:color="auto"/>
              <w:right w:val="single" w:sz="4" w:space="0" w:color="auto"/>
            </w:tcBorders>
            <w:noWrap/>
            <w:hideMark/>
          </w:tcPr>
          <w:p w14:paraId="24FFDF8D"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14 004,93 zł</w:t>
            </w:r>
          </w:p>
        </w:tc>
        <w:tc>
          <w:tcPr>
            <w:tcW w:w="931" w:type="dxa"/>
            <w:tcBorders>
              <w:top w:val="single" w:sz="4" w:space="0" w:color="auto"/>
              <w:left w:val="single" w:sz="4" w:space="0" w:color="auto"/>
              <w:bottom w:val="single" w:sz="4" w:space="0" w:color="auto"/>
              <w:right w:val="single" w:sz="4" w:space="0" w:color="auto"/>
            </w:tcBorders>
            <w:noWrap/>
            <w:hideMark/>
          </w:tcPr>
          <w:p w14:paraId="072FDDD9"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14 711,97 zł</w:t>
            </w:r>
          </w:p>
        </w:tc>
        <w:tc>
          <w:tcPr>
            <w:tcW w:w="932" w:type="dxa"/>
            <w:tcBorders>
              <w:top w:val="single" w:sz="4" w:space="0" w:color="auto"/>
              <w:left w:val="single" w:sz="4" w:space="0" w:color="auto"/>
              <w:bottom w:val="single" w:sz="4" w:space="0" w:color="auto"/>
              <w:right w:val="single" w:sz="4" w:space="0" w:color="auto"/>
            </w:tcBorders>
            <w:noWrap/>
            <w:hideMark/>
          </w:tcPr>
          <w:p w14:paraId="525E7518"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15 446,16 zł</w:t>
            </w:r>
          </w:p>
        </w:tc>
        <w:tc>
          <w:tcPr>
            <w:tcW w:w="931" w:type="dxa"/>
            <w:tcBorders>
              <w:top w:val="single" w:sz="4" w:space="0" w:color="auto"/>
              <w:left w:val="single" w:sz="4" w:space="0" w:color="auto"/>
              <w:bottom w:val="single" w:sz="4" w:space="0" w:color="auto"/>
              <w:right w:val="single" w:sz="4" w:space="0" w:color="auto"/>
            </w:tcBorders>
            <w:noWrap/>
            <w:hideMark/>
          </w:tcPr>
          <w:p w14:paraId="0CBEFA74"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16 216,98 zł</w:t>
            </w:r>
          </w:p>
        </w:tc>
        <w:tc>
          <w:tcPr>
            <w:tcW w:w="932" w:type="dxa"/>
            <w:tcBorders>
              <w:top w:val="single" w:sz="4" w:space="0" w:color="auto"/>
              <w:left w:val="single" w:sz="4" w:space="0" w:color="auto"/>
              <w:bottom w:val="single" w:sz="4" w:space="0" w:color="auto"/>
              <w:right w:val="single" w:sz="4" w:space="0" w:color="auto"/>
            </w:tcBorders>
            <w:noWrap/>
            <w:hideMark/>
          </w:tcPr>
          <w:p w14:paraId="159AFABA"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17 026,27 zł</w:t>
            </w:r>
          </w:p>
        </w:tc>
        <w:tc>
          <w:tcPr>
            <w:tcW w:w="931" w:type="dxa"/>
            <w:tcBorders>
              <w:top w:val="single" w:sz="4" w:space="0" w:color="auto"/>
              <w:left w:val="single" w:sz="4" w:space="0" w:color="auto"/>
              <w:bottom w:val="single" w:sz="4" w:space="0" w:color="auto"/>
              <w:right w:val="single" w:sz="4" w:space="0" w:color="auto"/>
            </w:tcBorders>
            <w:noWrap/>
            <w:hideMark/>
          </w:tcPr>
          <w:p w14:paraId="75916917"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17 870,77 zł</w:t>
            </w:r>
          </w:p>
        </w:tc>
        <w:tc>
          <w:tcPr>
            <w:tcW w:w="932" w:type="dxa"/>
            <w:tcBorders>
              <w:top w:val="single" w:sz="4" w:space="0" w:color="auto"/>
              <w:left w:val="single" w:sz="4" w:space="0" w:color="auto"/>
              <w:bottom w:val="single" w:sz="4" w:space="0" w:color="auto"/>
              <w:right w:val="single" w:sz="4" w:space="0" w:color="auto"/>
            </w:tcBorders>
            <w:noWrap/>
            <w:hideMark/>
          </w:tcPr>
          <w:p w14:paraId="6679880C" w14:textId="77777777" w:rsidR="003F5C1A" w:rsidRDefault="003F5C1A">
            <w:pPr>
              <w:spacing w:line="240" w:lineRule="auto"/>
              <w:rPr>
                <w:rFonts w:ascii="Times New Roman" w:hAnsi="Times New Roman"/>
                <w:b/>
                <w:bCs/>
                <w:lang w:eastAsia="pl-PL"/>
              </w:rPr>
            </w:pPr>
            <w:r>
              <w:rPr>
                <w:rFonts w:ascii="Times New Roman" w:hAnsi="Times New Roman"/>
                <w:b/>
                <w:bCs/>
                <w:lang w:eastAsia="pl-PL"/>
              </w:rPr>
              <w:t>18 757,16 zł</w:t>
            </w:r>
          </w:p>
        </w:tc>
      </w:tr>
      <w:tr w:rsidR="003F5C1A" w14:paraId="73CD011A" w14:textId="77777777" w:rsidTr="003F5C1A">
        <w:trPr>
          <w:trHeight w:val="157"/>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3F27FC9" w14:textId="77777777" w:rsidR="003F5C1A" w:rsidRDefault="003F5C1A">
            <w:pPr>
              <w:spacing w:line="240" w:lineRule="auto"/>
              <w:rPr>
                <w:rFonts w:ascii="Times New Roman" w:hAnsi="Times New Roman"/>
                <w:lang w:eastAsia="pl-PL"/>
              </w:rPr>
            </w:pPr>
            <w:r>
              <w:rPr>
                <w:rFonts w:ascii="Times New Roman" w:hAnsi="Times New Roman"/>
                <w:lang w:eastAsia="pl-PL"/>
              </w:rPr>
              <w:t>kwota bazowa 2025</w:t>
            </w:r>
          </w:p>
        </w:tc>
        <w:tc>
          <w:tcPr>
            <w:tcW w:w="931" w:type="dxa"/>
            <w:tcBorders>
              <w:top w:val="single" w:sz="4" w:space="0" w:color="auto"/>
              <w:left w:val="single" w:sz="4" w:space="0" w:color="auto"/>
              <w:bottom w:val="single" w:sz="4" w:space="0" w:color="auto"/>
              <w:right w:val="single" w:sz="4" w:space="0" w:color="auto"/>
            </w:tcBorders>
            <w:noWrap/>
            <w:hideMark/>
          </w:tcPr>
          <w:p w14:paraId="491D0F6C" w14:textId="77777777" w:rsidR="003F5C1A" w:rsidRDefault="003F5C1A">
            <w:pPr>
              <w:spacing w:line="240" w:lineRule="auto"/>
              <w:rPr>
                <w:rFonts w:ascii="Times New Roman" w:hAnsi="Times New Roman"/>
                <w:lang w:eastAsia="pl-PL"/>
              </w:rPr>
            </w:pPr>
            <w:r>
              <w:rPr>
                <w:rFonts w:ascii="Times New Roman" w:hAnsi="Times New Roman"/>
                <w:lang w:eastAsia="pl-PL"/>
              </w:rPr>
              <w:t>2759,97</w:t>
            </w:r>
          </w:p>
        </w:tc>
        <w:tc>
          <w:tcPr>
            <w:tcW w:w="932" w:type="dxa"/>
            <w:tcBorders>
              <w:top w:val="single" w:sz="4" w:space="0" w:color="auto"/>
              <w:left w:val="single" w:sz="4" w:space="0" w:color="auto"/>
              <w:bottom w:val="single" w:sz="4" w:space="0" w:color="auto"/>
              <w:right w:val="single" w:sz="4" w:space="0" w:color="auto"/>
            </w:tcBorders>
            <w:noWrap/>
            <w:hideMark/>
          </w:tcPr>
          <w:p w14:paraId="7AE56E0F" w14:textId="77777777" w:rsidR="003F5C1A" w:rsidRDefault="003F5C1A">
            <w:pPr>
              <w:rPr>
                <w:rFonts w:ascii="Times New Roman" w:hAnsi="Times New Roman"/>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4EBC2EC2"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245AA551"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4484C9ED"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35435719"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7371374A"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59631096"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48802A53"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77E49834"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17AFEBDE"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52F8698E"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1EF6587C"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6BAD561A" w14:textId="77777777" w:rsidR="003F5C1A" w:rsidRDefault="003F5C1A">
            <w:pPr>
              <w:spacing w:line="240" w:lineRule="auto"/>
              <w:rPr>
                <w:rFonts w:asciiTheme="minorHAnsi" w:eastAsiaTheme="minorHAnsi" w:hAnsiTheme="minorHAnsi" w:cstheme="minorBidi"/>
                <w:lang w:eastAsia="pl-PL"/>
              </w:rPr>
            </w:pPr>
          </w:p>
        </w:tc>
      </w:tr>
      <w:tr w:rsidR="003F5C1A" w14:paraId="04C97823" w14:textId="77777777" w:rsidTr="003F5C1A">
        <w:trPr>
          <w:trHeight w:val="131"/>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AB044C0" w14:textId="77777777" w:rsidR="003F5C1A" w:rsidRDefault="003F5C1A">
            <w:pPr>
              <w:spacing w:line="240" w:lineRule="auto"/>
              <w:rPr>
                <w:rFonts w:ascii="Times New Roman" w:hAnsi="Times New Roman"/>
                <w:lang w:eastAsia="pl-PL"/>
              </w:rPr>
            </w:pPr>
            <w:r>
              <w:rPr>
                <w:rFonts w:ascii="Times New Roman" w:hAnsi="Times New Roman"/>
                <w:lang w:eastAsia="pl-PL"/>
              </w:rPr>
              <w:t>mnożnik</w:t>
            </w:r>
          </w:p>
        </w:tc>
        <w:tc>
          <w:tcPr>
            <w:tcW w:w="931" w:type="dxa"/>
            <w:tcBorders>
              <w:top w:val="single" w:sz="4" w:space="0" w:color="auto"/>
              <w:left w:val="single" w:sz="4" w:space="0" w:color="auto"/>
              <w:bottom w:val="single" w:sz="4" w:space="0" w:color="auto"/>
              <w:right w:val="single" w:sz="4" w:space="0" w:color="auto"/>
            </w:tcBorders>
            <w:noWrap/>
            <w:hideMark/>
          </w:tcPr>
          <w:p w14:paraId="774A286D" w14:textId="77777777" w:rsidR="003F5C1A" w:rsidRDefault="003F5C1A">
            <w:pPr>
              <w:spacing w:line="240" w:lineRule="auto"/>
              <w:rPr>
                <w:rFonts w:ascii="Times New Roman" w:hAnsi="Times New Roman"/>
                <w:lang w:eastAsia="pl-PL"/>
              </w:rPr>
            </w:pPr>
            <w:r>
              <w:rPr>
                <w:rFonts w:ascii="Times New Roman" w:hAnsi="Times New Roman"/>
                <w:lang w:eastAsia="pl-PL"/>
              </w:rPr>
              <w:t>3,5</w:t>
            </w:r>
          </w:p>
        </w:tc>
        <w:tc>
          <w:tcPr>
            <w:tcW w:w="932" w:type="dxa"/>
            <w:tcBorders>
              <w:top w:val="single" w:sz="4" w:space="0" w:color="auto"/>
              <w:left w:val="single" w:sz="4" w:space="0" w:color="auto"/>
              <w:bottom w:val="single" w:sz="4" w:space="0" w:color="auto"/>
              <w:right w:val="single" w:sz="4" w:space="0" w:color="auto"/>
            </w:tcBorders>
            <w:noWrap/>
            <w:hideMark/>
          </w:tcPr>
          <w:p w14:paraId="72FDE404" w14:textId="77777777" w:rsidR="003F5C1A" w:rsidRDefault="003F5C1A">
            <w:pPr>
              <w:rPr>
                <w:rFonts w:ascii="Times New Roman" w:hAnsi="Times New Roman"/>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11216890"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49B52092"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44AF6D16"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18F8BBFD"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195087F8"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417CEB44"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705A760D"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596FD592"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32611DD4"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52C2150C" w14:textId="77777777" w:rsidR="003F5C1A" w:rsidRDefault="003F5C1A">
            <w:pPr>
              <w:spacing w:line="240" w:lineRule="auto"/>
              <w:rPr>
                <w:rFonts w:asciiTheme="minorHAnsi" w:eastAsiaTheme="minorHAnsi" w:hAnsiTheme="minorHAnsi" w:cstheme="minorBidi"/>
                <w:lang w:eastAsia="pl-PL"/>
              </w:rPr>
            </w:pPr>
          </w:p>
        </w:tc>
        <w:tc>
          <w:tcPr>
            <w:tcW w:w="931" w:type="dxa"/>
            <w:tcBorders>
              <w:top w:val="single" w:sz="4" w:space="0" w:color="auto"/>
              <w:left w:val="single" w:sz="4" w:space="0" w:color="auto"/>
              <w:bottom w:val="single" w:sz="4" w:space="0" w:color="auto"/>
              <w:right w:val="single" w:sz="4" w:space="0" w:color="auto"/>
            </w:tcBorders>
            <w:noWrap/>
            <w:hideMark/>
          </w:tcPr>
          <w:p w14:paraId="7AAE4EB0" w14:textId="77777777" w:rsidR="003F5C1A" w:rsidRDefault="003F5C1A">
            <w:pPr>
              <w:spacing w:line="240" w:lineRule="auto"/>
              <w:rPr>
                <w:rFonts w:asciiTheme="minorHAnsi" w:eastAsiaTheme="minorHAnsi" w:hAnsiTheme="minorHAnsi" w:cstheme="minorBidi"/>
                <w:lang w:eastAsia="pl-PL"/>
              </w:rPr>
            </w:pPr>
          </w:p>
        </w:tc>
        <w:tc>
          <w:tcPr>
            <w:tcW w:w="932" w:type="dxa"/>
            <w:tcBorders>
              <w:top w:val="single" w:sz="4" w:space="0" w:color="auto"/>
              <w:left w:val="single" w:sz="4" w:space="0" w:color="auto"/>
              <w:bottom w:val="single" w:sz="4" w:space="0" w:color="auto"/>
              <w:right w:val="single" w:sz="4" w:space="0" w:color="auto"/>
            </w:tcBorders>
            <w:noWrap/>
            <w:hideMark/>
          </w:tcPr>
          <w:p w14:paraId="0C0DB445" w14:textId="77777777" w:rsidR="003F5C1A" w:rsidRDefault="003F5C1A">
            <w:pPr>
              <w:spacing w:line="240" w:lineRule="auto"/>
              <w:rPr>
                <w:rFonts w:asciiTheme="minorHAnsi" w:eastAsiaTheme="minorHAnsi" w:hAnsiTheme="minorHAnsi" w:cstheme="minorBidi"/>
                <w:lang w:eastAsia="pl-PL"/>
              </w:rPr>
            </w:pPr>
          </w:p>
        </w:tc>
      </w:tr>
    </w:tbl>
    <w:p w14:paraId="40128B9D" w14:textId="77777777" w:rsidR="003F5C1A" w:rsidRDefault="003F5C1A" w:rsidP="003F5C1A">
      <w:pPr>
        <w:rPr>
          <w:rFonts w:asciiTheme="minorHAnsi" w:eastAsiaTheme="minorHAnsi" w:hAnsiTheme="minorHAnsi" w:cstheme="minorBidi"/>
          <w:kern w:val="2"/>
          <w14:ligatures w14:val="standardContextual"/>
        </w:rPr>
      </w:pPr>
    </w:p>
    <w:p w14:paraId="76124F63" w14:textId="77777777" w:rsidR="003F5C1A" w:rsidRDefault="003F5C1A" w:rsidP="00D81D97">
      <w:pPr>
        <w:rPr>
          <w:lang w:eastAsia="pl-PL"/>
        </w:rPr>
      </w:pPr>
    </w:p>
    <w:p w14:paraId="2B563E81" w14:textId="77777777" w:rsidR="005C31F5" w:rsidRDefault="005C31F5" w:rsidP="00D81D97">
      <w:pPr>
        <w:rPr>
          <w:lang w:eastAsia="pl-PL"/>
        </w:rPr>
      </w:pPr>
    </w:p>
    <w:p w14:paraId="30125B9C" w14:textId="77777777" w:rsidR="005C31F5" w:rsidRDefault="005C31F5" w:rsidP="00D81D97">
      <w:pPr>
        <w:rPr>
          <w:lang w:eastAsia="pl-PL"/>
        </w:rPr>
      </w:pPr>
    </w:p>
    <w:p w14:paraId="0516FF74" w14:textId="77777777" w:rsidR="005C31F5" w:rsidRDefault="005C31F5" w:rsidP="00D81D97">
      <w:pPr>
        <w:rPr>
          <w:lang w:eastAsia="pl-PL"/>
        </w:rPr>
      </w:pPr>
    </w:p>
    <w:p w14:paraId="23D815B9" w14:textId="77777777" w:rsidR="005C31F5" w:rsidRDefault="005C31F5" w:rsidP="00D81D97">
      <w:pPr>
        <w:rPr>
          <w:lang w:eastAsia="pl-PL"/>
        </w:rPr>
      </w:pPr>
    </w:p>
    <w:p w14:paraId="529A06A1" w14:textId="77777777" w:rsidR="005C31F5" w:rsidRDefault="005C31F5" w:rsidP="00D81D97">
      <w:pPr>
        <w:rPr>
          <w:lang w:eastAsia="pl-PL"/>
        </w:rPr>
      </w:pPr>
    </w:p>
    <w:p w14:paraId="023CF675" w14:textId="77777777" w:rsidR="005C31F5" w:rsidRDefault="005C31F5" w:rsidP="00D81D97">
      <w:pPr>
        <w:rPr>
          <w:lang w:eastAsia="pl-PL"/>
        </w:rPr>
      </w:pPr>
    </w:p>
    <w:p w14:paraId="3D31DD77" w14:textId="77777777" w:rsidR="005C31F5" w:rsidRDefault="005C31F5" w:rsidP="00D81D97">
      <w:pPr>
        <w:rPr>
          <w:lang w:eastAsia="pl-PL"/>
        </w:rPr>
      </w:pPr>
    </w:p>
    <w:p w14:paraId="41AFA586" w14:textId="77777777" w:rsidR="005C31F5" w:rsidRDefault="005C31F5" w:rsidP="00D81D97">
      <w:pPr>
        <w:rPr>
          <w:lang w:eastAsia="pl-PL"/>
        </w:rPr>
      </w:pPr>
    </w:p>
    <w:p w14:paraId="328C955B" w14:textId="77777777" w:rsidR="005C31F5" w:rsidRDefault="005C31F5" w:rsidP="00D81D97">
      <w:pPr>
        <w:rPr>
          <w:lang w:eastAsia="pl-PL"/>
        </w:rPr>
      </w:pPr>
    </w:p>
    <w:p w14:paraId="033D0469" w14:textId="77777777" w:rsidR="005C31F5" w:rsidRDefault="005C31F5" w:rsidP="00D81D97">
      <w:pPr>
        <w:rPr>
          <w:lang w:eastAsia="pl-PL"/>
        </w:rPr>
      </w:pPr>
    </w:p>
    <w:p w14:paraId="3DE6726C" w14:textId="77777777" w:rsidR="005C31F5" w:rsidRDefault="005C31F5" w:rsidP="00D81D97">
      <w:pPr>
        <w:rPr>
          <w:lang w:eastAsia="pl-PL"/>
        </w:rPr>
      </w:pPr>
    </w:p>
    <w:p w14:paraId="0D2E1B89" w14:textId="77777777" w:rsidR="005C31F5" w:rsidRDefault="005C31F5" w:rsidP="00D81D97">
      <w:pPr>
        <w:rPr>
          <w:lang w:eastAsia="pl-PL"/>
        </w:rPr>
      </w:pPr>
    </w:p>
    <w:p w14:paraId="1E478251" w14:textId="50F14656" w:rsidR="00A9405D" w:rsidRDefault="00A9405D" w:rsidP="00D81D97">
      <w:pPr>
        <w:rPr>
          <w:rFonts w:ascii="Times New Roman" w:hAnsi="Times New Roman"/>
          <w:lang w:eastAsia="pl-PL"/>
        </w:rPr>
        <w:sectPr w:rsidR="00A9405D" w:rsidSect="003F5C1A">
          <w:pgSz w:w="16838" w:h="11906" w:orient="landscape"/>
          <w:pgMar w:top="720" w:right="567" w:bottom="709" w:left="567" w:header="709" w:footer="289" w:gutter="0"/>
          <w:cols w:space="708"/>
          <w:docGrid w:linePitch="360"/>
        </w:sectPr>
      </w:pPr>
    </w:p>
    <w:p w14:paraId="033051F4" w14:textId="02A795AA" w:rsidR="005C31F5" w:rsidRDefault="00A9405D" w:rsidP="00D81D97">
      <w:pPr>
        <w:rPr>
          <w:rFonts w:ascii="Times New Roman" w:hAnsi="Times New Roman"/>
          <w:lang w:eastAsia="pl-PL"/>
        </w:rPr>
      </w:pPr>
      <w:r>
        <w:rPr>
          <w:rFonts w:ascii="Times New Roman" w:hAnsi="Times New Roman"/>
          <w:lang w:eastAsia="pl-PL"/>
        </w:rPr>
        <w:lastRenderedPageBreak/>
        <w:t>Załącznik 2</w:t>
      </w:r>
      <w:r w:rsidR="00FF30F2">
        <w:rPr>
          <w:rFonts w:ascii="Times New Roman" w:hAnsi="Times New Roman"/>
          <w:lang w:eastAsia="pl-PL"/>
        </w:rPr>
        <w:t xml:space="preserve"> </w:t>
      </w:r>
      <w:r w:rsidR="00FF30F2">
        <w:rPr>
          <w:rFonts w:ascii="Times New Roman" w:hAnsi="Times New Roman"/>
        </w:rPr>
        <w:t>do OSR dla projektu ustawy o zmianie ustawy – Prawo ochrony środowiska oraz niektórych innych ustaw</w:t>
      </w:r>
    </w:p>
    <w:p w14:paraId="6DD7894F" w14:textId="3CD3A735" w:rsidR="00A9405D" w:rsidRPr="00FF30F2" w:rsidRDefault="00A9405D" w:rsidP="00D81D97">
      <w:pPr>
        <w:rPr>
          <w:rFonts w:ascii="Times New Roman" w:hAnsi="Times New Roman"/>
          <w:b/>
          <w:lang w:eastAsia="pl-PL"/>
        </w:rPr>
      </w:pPr>
    </w:p>
    <w:p w14:paraId="5E3751F6" w14:textId="77777777" w:rsidR="00FF30F2" w:rsidRPr="00FF30F2" w:rsidRDefault="00FF30F2" w:rsidP="00FF30F2">
      <w:pPr>
        <w:spacing w:line="240" w:lineRule="auto"/>
        <w:jc w:val="both"/>
        <w:rPr>
          <w:rFonts w:ascii="Times New Roman" w:hAnsi="Times New Roman"/>
          <w:b/>
          <w:color w:val="000000" w:themeColor="text1"/>
          <w:lang w:eastAsia="en-GB"/>
        </w:rPr>
      </w:pPr>
      <w:r w:rsidRPr="00FF30F2">
        <w:rPr>
          <w:rFonts w:ascii="Times New Roman" w:hAnsi="Times New Roman"/>
          <w:b/>
          <w:color w:val="000000" w:themeColor="text1"/>
        </w:rPr>
        <w:t>Podział na kategorie ze wskazaniem, które instalacje i w jakiej ilości podlegają marszałkowi województwa, a które staroście</w:t>
      </w:r>
    </w:p>
    <w:p w14:paraId="592E3F18" w14:textId="77777777" w:rsidR="00FF30F2" w:rsidRDefault="00FF30F2" w:rsidP="00D81D97">
      <w:pPr>
        <w:rPr>
          <w:rFonts w:ascii="Times New Roman" w:hAnsi="Times New Roman"/>
          <w:lang w:eastAsia="pl-PL"/>
        </w:rPr>
      </w:pPr>
    </w:p>
    <w:tbl>
      <w:tblPr>
        <w:tblW w:w="7460" w:type="dxa"/>
        <w:tblCellMar>
          <w:left w:w="70" w:type="dxa"/>
          <w:right w:w="70" w:type="dxa"/>
        </w:tblCellMar>
        <w:tblLook w:val="04A0" w:firstRow="1" w:lastRow="0" w:firstColumn="1" w:lastColumn="0" w:noHBand="0" w:noVBand="1"/>
      </w:tblPr>
      <w:tblGrid>
        <w:gridCol w:w="4820"/>
        <w:gridCol w:w="1360"/>
        <w:gridCol w:w="1280"/>
      </w:tblGrid>
      <w:tr w:rsidR="00A9405D" w:rsidRPr="00A9405D" w14:paraId="53BC07DF" w14:textId="77777777" w:rsidTr="00A9405D">
        <w:trPr>
          <w:trHeight w:val="924"/>
        </w:trPr>
        <w:tc>
          <w:tcPr>
            <w:tcW w:w="4820" w:type="dxa"/>
            <w:tcBorders>
              <w:top w:val="single" w:sz="4" w:space="0" w:color="auto"/>
              <w:left w:val="single" w:sz="4" w:space="0" w:color="auto"/>
              <w:bottom w:val="single" w:sz="4" w:space="0" w:color="auto"/>
              <w:right w:val="single" w:sz="4" w:space="0" w:color="auto"/>
            </w:tcBorders>
            <w:shd w:val="clear" w:color="000000" w:fill="B8CCE4"/>
            <w:vAlign w:val="bottom"/>
            <w:hideMark/>
          </w:tcPr>
          <w:p w14:paraId="619BCEE3" w14:textId="5329429E"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xml:space="preserve">Aktualna liczba wydanych pozwoleń zintegrowanych </w:t>
            </w:r>
            <w:r w:rsidR="00510C25">
              <w:rPr>
                <w:rFonts w:eastAsia="Times New Roman" w:cs="Calibri"/>
                <w:color w:val="000000"/>
                <w:lang w:eastAsia="pl-PL"/>
              </w:rPr>
              <w:t>(pz)</w:t>
            </w:r>
            <w:r w:rsidRPr="00A9405D">
              <w:rPr>
                <w:rFonts w:eastAsia="Times New Roman" w:cs="Calibri"/>
                <w:color w:val="000000"/>
                <w:lang w:eastAsia="pl-PL"/>
              </w:rPr>
              <w:t xml:space="preserve">  </w:t>
            </w:r>
          </w:p>
        </w:tc>
        <w:tc>
          <w:tcPr>
            <w:tcW w:w="1360" w:type="dxa"/>
            <w:tcBorders>
              <w:top w:val="single" w:sz="4" w:space="0" w:color="auto"/>
              <w:left w:val="nil"/>
              <w:bottom w:val="single" w:sz="4" w:space="0" w:color="auto"/>
              <w:right w:val="single" w:sz="4" w:space="0" w:color="auto"/>
            </w:tcBorders>
            <w:noWrap/>
            <w:vAlign w:val="bottom"/>
            <w:hideMark/>
          </w:tcPr>
          <w:p w14:paraId="315CBCB2" w14:textId="77777777" w:rsidR="00A9405D" w:rsidRPr="00A9405D" w:rsidRDefault="00A9405D" w:rsidP="00A9405D">
            <w:pPr>
              <w:spacing w:line="240" w:lineRule="auto"/>
              <w:jc w:val="right"/>
              <w:rPr>
                <w:rFonts w:eastAsia="Times New Roman" w:cs="Calibri"/>
                <w:b/>
                <w:bCs/>
                <w:color w:val="000000"/>
                <w:lang w:eastAsia="pl-PL"/>
              </w:rPr>
            </w:pPr>
            <w:r w:rsidRPr="00A9405D">
              <w:rPr>
                <w:rFonts w:eastAsia="Times New Roman" w:cs="Calibri"/>
                <w:b/>
                <w:bCs/>
                <w:color w:val="000000"/>
                <w:lang w:eastAsia="pl-PL"/>
              </w:rPr>
              <w:t>4062</w:t>
            </w:r>
          </w:p>
        </w:tc>
        <w:tc>
          <w:tcPr>
            <w:tcW w:w="1280" w:type="dxa"/>
            <w:tcBorders>
              <w:top w:val="single" w:sz="4" w:space="0" w:color="auto"/>
              <w:left w:val="nil"/>
              <w:bottom w:val="single" w:sz="4" w:space="0" w:color="auto"/>
              <w:right w:val="single" w:sz="4" w:space="0" w:color="auto"/>
            </w:tcBorders>
            <w:noWrap/>
            <w:vAlign w:val="bottom"/>
            <w:hideMark/>
          </w:tcPr>
          <w:p w14:paraId="4DBFD786"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100%</w:t>
            </w:r>
          </w:p>
        </w:tc>
      </w:tr>
      <w:tr w:rsidR="00A9405D" w:rsidRPr="00A9405D" w14:paraId="7DFCF507" w14:textId="77777777" w:rsidTr="00A9405D">
        <w:trPr>
          <w:trHeight w:val="288"/>
        </w:trPr>
        <w:tc>
          <w:tcPr>
            <w:tcW w:w="4820" w:type="dxa"/>
            <w:tcBorders>
              <w:top w:val="nil"/>
              <w:left w:val="single" w:sz="4" w:space="0" w:color="auto"/>
              <w:bottom w:val="single" w:sz="4" w:space="0" w:color="auto"/>
              <w:right w:val="single" w:sz="4" w:space="0" w:color="auto"/>
            </w:tcBorders>
            <w:shd w:val="clear" w:color="000000" w:fill="B8CCE4"/>
            <w:noWrap/>
            <w:vAlign w:val="bottom"/>
            <w:hideMark/>
          </w:tcPr>
          <w:p w14:paraId="6F86C7D5"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pozwolenia zintegrowane wydane przez marszałków</w:t>
            </w:r>
          </w:p>
        </w:tc>
        <w:tc>
          <w:tcPr>
            <w:tcW w:w="1360" w:type="dxa"/>
            <w:tcBorders>
              <w:top w:val="nil"/>
              <w:left w:val="nil"/>
              <w:bottom w:val="single" w:sz="4" w:space="0" w:color="auto"/>
              <w:right w:val="single" w:sz="4" w:space="0" w:color="auto"/>
            </w:tcBorders>
            <w:noWrap/>
            <w:vAlign w:val="bottom"/>
            <w:hideMark/>
          </w:tcPr>
          <w:p w14:paraId="20AD1DB5"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2925</w:t>
            </w:r>
          </w:p>
        </w:tc>
        <w:tc>
          <w:tcPr>
            <w:tcW w:w="1280" w:type="dxa"/>
            <w:tcBorders>
              <w:top w:val="nil"/>
              <w:left w:val="nil"/>
              <w:bottom w:val="single" w:sz="4" w:space="0" w:color="auto"/>
              <w:right w:val="single" w:sz="4" w:space="0" w:color="auto"/>
            </w:tcBorders>
            <w:noWrap/>
            <w:vAlign w:val="bottom"/>
            <w:hideMark/>
          </w:tcPr>
          <w:p w14:paraId="2C596ED0"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72,01%</w:t>
            </w:r>
          </w:p>
        </w:tc>
      </w:tr>
      <w:tr w:rsidR="00A9405D" w:rsidRPr="00A9405D" w14:paraId="4845C642" w14:textId="77777777" w:rsidTr="00A9405D">
        <w:trPr>
          <w:trHeight w:val="288"/>
        </w:trPr>
        <w:tc>
          <w:tcPr>
            <w:tcW w:w="4820" w:type="dxa"/>
            <w:tcBorders>
              <w:top w:val="nil"/>
              <w:left w:val="single" w:sz="4" w:space="0" w:color="auto"/>
              <w:bottom w:val="single" w:sz="4" w:space="0" w:color="auto"/>
              <w:right w:val="single" w:sz="4" w:space="0" w:color="auto"/>
            </w:tcBorders>
            <w:shd w:val="clear" w:color="000000" w:fill="B8CCE4"/>
            <w:noWrap/>
            <w:vAlign w:val="bottom"/>
            <w:hideMark/>
          </w:tcPr>
          <w:p w14:paraId="6C511B15"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pozwolenia zintegrowane wydane przez starostów</w:t>
            </w:r>
          </w:p>
        </w:tc>
        <w:tc>
          <w:tcPr>
            <w:tcW w:w="1360" w:type="dxa"/>
            <w:tcBorders>
              <w:top w:val="nil"/>
              <w:left w:val="nil"/>
              <w:bottom w:val="single" w:sz="4" w:space="0" w:color="auto"/>
              <w:right w:val="single" w:sz="4" w:space="0" w:color="auto"/>
            </w:tcBorders>
            <w:noWrap/>
            <w:vAlign w:val="bottom"/>
            <w:hideMark/>
          </w:tcPr>
          <w:p w14:paraId="7E88D31C"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1131</w:t>
            </w:r>
          </w:p>
        </w:tc>
        <w:tc>
          <w:tcPr>
            <w:tcW w:w="1280" w:type="dxa"/>
            <w:tcBorders>
              <w:top w:val="nil"/>
              <w:left w:val="nil"/>
              <w:bottom w:val="single" w:sz="4" w:space="0" w:color="auto"/>
              <w:right w:val="single" w:sz="4" w:space="0" w:color="auto"/>
            </w:tcBorders>
            <w:noWrap/>
            <w:vAlign w:val="bottom"/>
            <w:hideMark/>
          </w:tcPr>
          <w:p w14:paraId="6217DB52"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27,84%</w:t>
            </w:r>
          </w:p>
        </w:tc>
      </w:tr>
      <w:tr w:rsidR="00A9405D" w:rsidRPr="00A9405D" w14:paraId="315655D1" w14:textId="77777777" w:rsidTr="00A9405D">
        <w:trPr>
          <w:trHeight w:val="288"/>
        </w:trPr>
        <w:tc>
          <w:tcPr>
            <w:tcW w:w="4820" w:type="dxa"/>
            <w:tcBorders>
              <w:top w:val="nil"/>
              <w:left w:val="single" w:sz="4" w:space="0" w:color="auto"/>
              <w:bottom w:val="single" w:sz="4" w:space="0" w:color="auto"/>
              <w:right w:val="single" w:sz="4" w:space="0" w:color="auto"/>
            </w:tcBorders>
            <w:shd w:val="clear" w:color="000000" w:fill="B8CCE4"/>
            <w:noWrap/>
            <w:vAlign w:val="bottom"/>
            <w:hideMark/>
          </w:tcPr>
          <w:p w14:paraId="37D3BA47"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pz wydane przez rdoś</w:t>
            </w:r>
          </w:p>
        </w:tc>
        <w:tc>
          <w:tcPr>
            <w:tcW w:w="1360" w:type="dxa"/>
            <w:tcBorders>
              <w:top w:val="nil"/>
              <w:left w:val="nil"/>
              <w:bottom w:val="single" w:sz="4" w:space="0" w:color="auto"/>
              <w:right w:val="single" w:sz="4" w:space="0" w:color="auto"/>
            </w:tcBorders>
            <w:noWrap/>
            <w:vAlign w:val="bottom"/>
            <w:hideMark/>
          </w:tcPr>
          <w:p w14:paraId="509E09A3"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6</w:t>
            </w:r>
          </w:p>
        </w:tc>
        <w:tc>
          <w:tcPr>
            <w:tcW w:w="1280" w:type="dxa"/>
            <w:tcBorders>
              <w:top w:val="nil"/>
              <w:left w:val="nil"/>
              <w:bottom w:val="single" w:sz="4" w:space="0" w:color="auto"/>
              <w:right w:val="single" w:sz="4" w:space="0" w:color="auto"/>
            </w:tcBorders>
            <w:noWrap/>
            <w:vAlign w:val="bottom"/>
            <w:hideMark/>
          </w:tcPr>
          <w:p w14:paraId="59E495DE"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0,15%</w:t>
            </w:r>
          </w:p>
        </w:tc>
      </w:tr>
    </w:tbl>
    <w:p w14:paraId="1FC2F5B1" w14:textId="77777777" w:rsidR="005C31F5" w:rsidRDefault="005C31F5" w:rsidP="00D81D97">
      <w:pPr>
        <w:rPr>
          <w:rFonts w:ascii="Times New Roman" w:hAnsi="Times New Roman"/>
          <w:lang w:eastAsia="pl-PL"/>
        </w:rPr>
      </w:pPr>
    </w:p>
    <w:p w14:paraId="75FEA883" w14:textId="77777777" w:rsidR="005C31F5" w:rsidRDefault="005C31F5" w:rsidP="00D81D97">
      <w:pPr>
        <w:rPr>
          <w:rFonts w:ascii="Times New Roman" w:hAnsi="Times New Roman"/>
          <w:lang w:eastAsia="pl-PL"/>
        </w:rPr>
      </w:pPr>
    </w:p>
    <w:tbl>
      <w:tblPr>
        <w:tblW w:w="9560" w:type="dxa"/>
        <w:tblCellMar>
          <w:left w:w="70" w:type="dxa"/>
          <w:right w:w="70" w:type="dxa"/>
        </w:tblCellMar>
        <w:tblLook w:val="04A0" w:firstRow="1" w:lastRow="0" w:firstColumn="1" w:lastColumn="0" w:noHBand="0" w:noVBand="1"/>
      </w:tblPr>
      <w:tblGrid>
        <w:gridCol w:w="3470"/>
        <w:gridCol w:w="2182"/>
        <w:gridCol w:w="2108"/>
        <w:gridCol w:w="1800"/>
      </w:tblGrid>
      <w:tr w:rsidR="00A9405D" w:rsidRPr="00A9405D" w14:paraId="1EF754CA" w14:textId="77777777" w:rsidTr="00A9405D">
        <w:trPr>
          <w:trHeight w:val="924"/>
        </w:trPr>
        <w:tc>
          <w:tcPr>
            <w:tcW w:w="3470" w:type="dxa"/>
            <w:tcBorders>
              <w:top w:val="single" w:sz="4" w:space="0" w:color="auto"/>
              <w:left w:val="single" w:sz="4" w:space="0" w:color="auto"/>
              <w:bottom w:val="single" w:sz="4" w:space="0" w:color="auto"/>
              <w:right w:val="single" w:sz="4" w:space="0" w:color="auto"/>
            </w:tcBorders>
            <w:noWrap/>
            <w:vAlign w:val="bottom"/>
            <w:hideMark/>
          </w:tcPr>
          <w:p w14:paraId="3FFF42AC"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c>
          <w:tcPr>
            <w:tcW w:w="2182" w:type="dxa"/>
            <w:tcBorders>
              <w:top w:val="single" w:sz="4" w:space="0" w:color="auto"/>
              <w:left w:val="nil"/>
              <w:bottom w:val="single" w:sz="4" w:space="0" w:color="auto"/>
              <w:right w:val="single" w:sz="4" w:space="0" w:color="auto"/>
            </w:tcBorders>
            <w:shd w:val="clear" w:color="000000" w:fill="B8CCE4"/>
            <w:vAlign w:val="bottom"/>
            <w:hideMark/>
          </w:tcPr>
          <w:p w14:paraId="3EAD996D" w14:textId="77777777" w:rsidR="00A9405D" w:rsidRPr="00A9405D" w:rsidRDefault="00A9405D" w:rsidP="00A9405D">
            <w:pPr>
              <w:spacing w:line="240" w:lineRule="auto"/>
              <w:rPr>
                <w:rFonts w:eastAsia="Times New Roman" w:cs="Calibri"/>
                <w:b/>
                <w:bCs/>
                <w:color w:val="000000"/>
                <w:lang w:eastAsia="pl-PL"/>
              </w:rPr>
            </w:pPr>
            <w:r w:rsidRPr="00A9405D">
              <w:rPr>
                <w:rFonts w:eastAsia="Times New Roman" w:cs="Calibri"/>
                <w:b/>
                <w:bCs/>
                <w:color w:val="000000"/>
                <w:lang w:eastAsia="pl-PL"/>
              </w:rPr>
              <w:t>Liczba zakładów w podziale na województwa</w:t>
            </w:r>
          </w:p>
        </w:tc>
        <w:tc>
          <w:tcPr>
            <w:tcW w:w="2108" w:type="dxa"/>
            <w:tcBorders>
              <w:top w:val="single" w:sz="4" w:space="0" w:color="auto"/>
              <w:left w:val="nil"/>
              <w:bottom w:val="single" w:sz="4" w:space="0" w:color="auto"/>
              <w:right w:val="single" w:sz="4" w:space="0" w:color="auto"/>
            </w:tcBorders>
            <w:shd w:val="clear" w:color="000000" w:fill="B8CCE4"/>
            <w:vAlign w:val="bottom"/>
            <w:hideMark/>
          </w:tcPr>
          <w:p w14:paraId="24E3B561" w14:textId="77777777" w:rsidR="00A9405D" w:rsidRPr="00A9405D" w:rsidRDefault="00A9405D" w:rsidP="00A9405D">
            <w:pPr>
              <w:spacing w:line="240" w:lineRule="auto"/>
              <w:rPr>
                <w:rFonts w:eastAsia="Times New Roman" w:cs="Calibri"/>
                <w:b/>
                <w:bCs/>
                <w:color w:val="000000"/>
                <w:lang w:eastAsia="pl-PL"/>
              </w:rPr>
            </w:pPr>
            <w:r w:rsidRPr="00A9405D">
              <w:rPr>
                <w:rFonts w:eastAsia="Times New Roman" w:cs="Calibri"/>
                <w:b/>
                <w:bCs/>
                <w:color w:val="000000"/>
                <w:lang w:eastAsia="pl-PL"/>
              </w:rPr>
              <w:t>Liczba wydanych pozwoleń w podziale na województwa</w:t>
            </w:r>
          </w:p>
        </w:tc>
        <w:tc>
          <w:tcPr>
            <w:tcW w:w="1800" w:type="dxa"/>
            <w:tcBorders>
              <w:top w:val="nil"/>
              <w:left w:val="nil"/>
              <w:bottom w:val="nil"/>
              <w:right w:val="nil"/>
            </w:tcBorders>
            <w:noWrap/>
            <w:vAlign w:val="bottom"/>
            <w:hideMark/>
          </w:tcPr>
          <w:p w14:paraId="4EB2085A" w14:textId="77777777" w:rsidR="00A9405D" w:rsidRPr="00A9405D" w:rsidRDefault="00A9405D" w:rsidP="00A9405D">
            <w:pPr>
              <w:spacing w:line="240" w:lineRule="auto"/>
              <w:rPr>
                <w:rFonts w:eastAsia="Times New Roman" w:cs="Calibri"/>
                <w:b/>
                <w:bCs/>
                <w:color w:val="000000"/>
                <w:lang w:eastAsia="pl-PL"/>
              </w:rPr>
            </w:pPr>
          </w:p>
        </w:tc>
      </w:tr>
      <w:tr w:rsidR="00A9405D" w:rsidRPr="00A9405D" w14:paraId="62F1F4EB"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117C9909"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dolnośląskie</w:t>
            </w:r>
          </w:p>
        </w:tc>
        <w:tc>
          <w:tcPr>
            <w:tcW w:w="2182" w:type="dxa"/>
            <w:tcBorders>
              <w:top w:val="nil"/>
              <w:left w:val="nil"/>
              <w:bottom w:val="single" w:sz="4" w:space="0" w:color="auto"/>
              <w:right w:val="single" w:sz="4" w:space="0" w:color="auto"/>
            </w:tcBorders>
            <w:noWrap/>
            <w:vAlign w:val="bottom"/>
            <w:hideMark/>
          </w:tcPr>
          <w:p w14:paraId="7407A4F7"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226</w:t>
            </w:r>
          </w:p>
        </w:tc>
        <w:tc>
          <w:tcPr>
            <w:tcW w:w="2108" w:type="dxa"/>
            <w:tcBorders>
              <w:top w:val="nil"/>
              <w:left w:val="nil"/>
              <w:bottom w:val="single" w:sz="4" w:space="0" w:color="auto"/>
              <w:right w:val="single" w:sz="4" w:space="0" w:color="auto"/>
            </w:tcBorders>
            <w:noWrap/>
            <w:vAlign w:val="bottom"/>
            <w:hideMark/>
          </w:tcPr>
          <w:p w14:paraId="6450887F"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278</w:t>
            </w:r>
          </w:p>
        </w:tc>
        <w:tc>
          <w:tcPr>
            <w:tcW w:w="1800" w:type="dxa"/>
            <w:tcBorders>
              <w:top w:val="nil"/>
              <w:left w:val="nil"/>
              <w:bottom w:val="nil"/>
              <w:right w:val="nil"/>
            </w:tcBorders>
            <w:noWrap/>
            <w:vAlign w:val="bottom"/>
            <w:hideMark/>
          </w:tcPr>
          <w:p w14:paraId="00915837"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2D4C37CB"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774DCB63"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kujawsko-pomorskie</w:t>
            </w:r>
          </w:p>
        </w:tc>
        <w:tc>
          <w:tcPr>
            <w:tcW w:w="2182" w:type="dxa"/>
            <w:tcBorders>
              <w:top w:val="nil"/>
              <w:left w:val="nil"/>
              <w:bottom w:val="single" w:sz="4" w:space="0" w:color="auto"/>
              <w:right w:val="single" w:sz="4" w:space="0" w:color="auto"/>
            </w:tcBorders>
            <w:noWrap/>
            <w:vAlign w:val="bottom"/>
            <w:hideMark/>
          </w:tcPr>
          <w:p w14:paraId="7E808F78"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233</w:t>
            </w:r>
          </w:p>
        </w:tc>
        <w:tc>
          <w:tcPr>
            <w:tcW w:w="2108" w:type="dxa"/>
            <w:tcBorders>
              <w:top w:val="nil"/>
              <w:left w:val="nil"/>
              <w:bottom w:val="single" w:sz="4" w:space="0" w:color="auto"/>
              <w:right w:val="single" w:sz="4" w:space="0" w:color="auto"/>
            </w:tcBorders>
            <w:noWrap/>
            <w:vAlign w:val="bottom"/>
            <w:hideMark/>
          </w:tcPr>
          <w:p w14:paraId="250CEE33"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261</w:t>
            </w:r>
          </w:p>
        </w:tc>
        <w:tc>
          <w:tcPr>
            <w:tcW w:w="1800" w:type="dxa"/>
            <w:tcBorders>
              <w:top w:val="nil"/>
              <w:left w:val="nil"/>
              <w:bottom w:val="nil"/>
              <w:right w:val="nil"/>
            </w:tcBorders>
            <w:noWrap/>
            <w:vAlign w:val="bottom"/>
            <w:hideMark/>
          </w:tcPr>
          <w:p w14:paraId="7C1ADAE3"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2389BFA6"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0052E00"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lubelskie</w:t>
            </w:r>
          </w:p>
        </w:tc>
        <w:tc>
          <w:tcPr>
            <w:tcW w:w="2182" w:type="dxa"/>
            <w:tcBorders>
              <w:top w:val="nil"/>
              <w:left w:val="nil"/>
              <w:bottom w:val="single" w:sz="4" w:space="0" w:color="auto"/>
              <w:right w:val="single" w:sz="4" w:space="0" w:color="auto"/>
            </w:tcBorders>
            <w:noWrap/>
            <w:vAlign w:val="bottom"/>
            <w:hideMark/>
          </w:tcPr>
          <w:p w14:paraId="41C2AC3D"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178</w:t>
            </w:r>
          </w:p>
        </w:tc>
        <w:tc>
          <w:tcPr>
            <w:tcW w:w="2108" w:type="dxa"/>
            <w:tcBorders>
              <w:top w:val="nil"/>
              <w:left w:val="nil"/>
              <w:bottom w:val="single" w:sz="4" w:space="0" w:color="auto"/>
              <w:right w:val="single" w:sz="4" w:space="0" w:color="auto"/>
            </w:tcBorders>
            <w:noWrap/>
            <w:vAlign w:val="bottom"/>
            <w:hideMark/>
          </w:tcPr>
          <w:p w14:paraId="64566BC3"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193</w:t>
            </w:r>
          </w:p>
        </w:tc>
        <w:tc>
          <w:tcPr>
            <w:tcW w:w="1800" w:type="dxa"/>
            <w:tcBorders>
              <w:top w:val="nil"/>
              <w:left w:val="nil"/>
              <w:bottom w:val="nil"/>
              <w:right w:val="nil"/>
            </w:tcBorders>
            <w:noWrap/>
            <w:vAlign w:val="bottom"/>
            <w:hideMark/>
          </w:tcPr>
          <w:p w14:paraId="6270FC3E"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7D5241E7"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768A1712"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lubuskie</w:t>
            </w:r>
          </w:p>
        </w:tc>
        <w:tc>
          <w:tcPr>
            <w:tcW w:w="2182" w:type="dxa"/>
            <w:tcBorders>
              <w:top w:val="nil"/>
              <w:left w:val="nil"/>
              <w:bottom w:val="single" w:sz="4" w:space="0" w:color="auto"/>
              <w:right w:val="single" w:sz="4" w:space="0" w:color="auto"/>
            </w:tcBorders>
            <w:noWrap/>
            <w:vAlign w:val="bottom"/>
            <w:hideMark/>
          </w:tcPr>
          <w:p w14:paraId="2AA41097"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104</w:t>
            </w:r>
          </w:p>
        </w:tc>
        <w:tc>
          <w:tcPr>
            <w:tcW w:w="2108" w:type="dxa"/>
            <w:tcBorders>
              <w:top w:val="nil"/>
              <w:left w:val="nil"/>
              <w:bottom w:val="single" w:sz="4" w:space="0" w:color="auto"/>
              <w:right w:val="single" w:sz="4" w:space="0" w:color="auto"/>
            </w:tcBorders>
            <w:noWrap/>
            <w:vAlign w:val="bottom"/>
            <w:hideMark/>
          </w:tcPr>
          <w:p w14:paraId="731D3EDA"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121</w:t>
            </w:r>
          </w:p>
        </w:tc>
        <w:tc>
          <w:tcPr>
            <w:tcW w:w="1800" w:type="dxa"/>
            <w:tcBorders>
              <w:top w:val="nil"/>
              <w:left w:val="nil"/>
              <w:bottom w:val="nil"/>
              <w:right w:val="nil"/>
            </w:tcBorders>
            <w:noWrap/>
            <w:vAlign w:val="bottom"/>
            <w:hideMark/>
          </w:tcPr>
          <w:p w14:paraId="440134C5"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63502290"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57B7410A"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łódzkie</w:t>
            </w:r>
          </w:p>
        </w:tc>
        <w:tc>
          <w:tcPr>
            <w:tcW w:w="2182" w:type="dxa"/>
            <w:tcBorders>
              <w:top w:val="nil"/>
              <w:left w:val="nil"/>
              <w:bottom w:val="single" w:sz="4" w:space="0" w:color="auto"/>
              <w:right w:val="single" w:sz="4" w:space="0" w:color="auto"/>
            </w:tcBorders>
            <w:noWrap/>
            <w:vAlign w:val="bottom"/>
            <w:hideMark/>
          </w:tcPr>
          <w:p w14:paraId="2C46FBDE"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252</w:t>
            </w:r>
          </w:p>
        </w:tc>
        <w:tc>
          <w:tcPr>
            <w:tcW w:w="2108" w:type="dxa"/>
            <w:tcBorders>
              <w:top w:val="nil"/>
              <w:left w:val="nil"/>
              <w:bottom w:val="single" w:sz="4" w:space="0" w:color="auto"/>
              <w:right w:val="single" w:sz="4" w:space="0" w:color="auto"/>
            </w:tcBorders>
            <w:noWrap/>
            <w:vAlign w:val="bottom"/>
            <w:hideMark/>
          </w:tcPr>
          <w:p w14:paraId="3A394851"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290</w:t>
            </w:r>
          </w:p>
        </w:tc>
        <w:tc>
          <w:tcPr>
            <w:tcW w:w="1800" w:type="dxa"/>
            <w:tcBorders>
              <w:top w:val="nil"/>
              <w:left w:val="nil"/>
              <w:bottom w:val="nil"/>
              <w:right w:val="nil"/>
            </w:tcBorders>
            <w:noWrap/>
            <w:vAlign w:val="bottom"/>
            <w:hideMark/>
          </w:tcPr>
          <w:p w14:paraId="42982F01"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57D37FF7"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144AC90E"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małopolskie</w:t>
            </w:r>
          </w:p>
        </w:tc>
        <w:tc>
          <w:tcPr>
            <w:tcW w:w="2182" w:type="dxa"/>
            <w:tcBorders>
              <w:top w:val="nil"/>
              <w:left w:val="nil"/>
              <w:bottom w:val="single" w:sz="4" w:space="0" w:color="auto"/>
              <w:right w:val="single" w:sz="4" w:space="0" w:color="auto"/>
            </w:tcBorders>
            <w:noWrap/>
            <w:vAlign w:val="bottom"/>
            <w:hideMark/>
          </w:tcPr>
          <w:p w14:paraId="140FD04A"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176</w:t>
            </w:r>
          </w:p>
        </w:tc>
        <w:tc>
          <w:tcPr>
            <w:tcW w:w="2108" w:type="dxa"/>
            <w:tcBorders>
              <w:top w:val="nil"/>
              <w:left w:val="nil"/>
              <w:bottom w:val="single" w:sz="4" w:space="0" w:color="auto"/>
              <w:right w:val="single" w:sz="4" w:space="0" w:color="auto"/>
            </w:tcBorders>
            <w:noWrap/>
            <w:vAlign w:val="bottom"/>
            <w:hideMark/>
          </w:tcPr>
          <w:p w14:paraId="3DB6752F"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223</w:t>
            </w:r>
          </w:p>
        </w:tc>
        <w:tc>
          <w:tcPr>
            <w:tcW w:w="1800" w:type="dxa"/>
            <w:tcBorders>
              <w:top w:val="nil"/>
              <w:left w:val="nil"/>
              <w:bottom w:val="nil"/>
              <w:right w:val="nil"/>
            </w:tcBorders>
            <w:noWrap/>
            <w:vAlign w:val="bottom"/>
            <w:hideMark/>
          </w:tcPr>
          <w:p w14:paraId="1BBA5ECC"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11B3CD80"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7E107FC"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mazowieckie</w:t>
            </w:r>
          </w:p>
        </w:tc>
        <w:tc>
          <w:tcPr>
            <w:tcW w:w="2182" w:type="dxa"/>
            <w:tcBorders>
              <w:top w:val="nil"/>
              <w:left w:val="nil"/>
              <w:bottom w:val="single" w:sz="4" w:space="0" w:color="auto"/>
              <w:right w:val="single" w:sz="4" w:space="0" w:color="auto"/>
            </w:tcBorders>
            <w:noWrap/>
            <w:vAlign w:val="bottom"/>
            <w:hideMark/>
          </w:tcPr>
          <w:p w14:paraId="3EFC45E8"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520</w:t>
            </w:r>
          </w:p>
        </w:tc>
        <w:tc>
          <w:tcPr>
            <w:tcW w:w="2108" w:type="dxa"/>
            <w:tcBorders>
              <w:top w:val="nil"/>
              <w:left w:val="nil"/>
              <w:bottom w:val="single" w:sz="4" w:space="0" w:color="auto"/>
              <w:right w:val="single" w:sz="4" w:space="0" w:color="auto"/>
            </w:tcBorders>
            <w:noWrap/>
            <w:vAlign w:val="bottom"/>
            <w:hideMark/>
          </w:tcPr>
          <w:p w14:paraId="6F12BCAE"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582</w:t>
            </w:r>
          </w:p>
        </w:tc>
        <w:tc>
          <w:tcPr>
            <w:tcW w:w="1800" w:type="dxa"/>
            <w:tcBorders>
              <w:top w:val="nil"/>
              <w:left w:val="nil"/>
              <w:bottom w:val="nil"/>
              <w:right w:val="nil"/>
            </w:tcBorders>
            <w:noWrap/>
            <w:vAlign w:val="bottom"/>
            <w:hideMark/>
          </w:tcPr>
          <w:p w14:paraId="3CDD5287"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1B7EA1F1"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39DF73C7"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opolskie</w:t>
            </w:r>
          </w:p>
        </w:tc>
        <w:tc>
          <w:tcPr>
            <w:tcW w:w="2182" w:type="dxa"/>
            <w:tcBorders>
              <w:top w:val="nil"/>
              <w:left w:val="nil"/>
              <w:bottom w:val="single" w:sz="4" w:space="0" w:color="auto"/>
              <w:right w:val="single" w:sz="4" w:space="0" w:color="auto"/>
            </w:tcBorders>
            <w:noWrap/>
            <w:vAlign w:val="bottom"/>
            <w:hideMark/>
          </w:tcPr>
          <w:p w14:paraId="4C696FAF"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152</w:t>
            </w:r>
          </w:p>
        </w:tc>
        <w:tc>
          <w:tcPr>
            <w:tcW w:w="2108" w:type="dxa"/>
            <w:tcBorders>
              <w:top w:val="nil"/>
              <w:left w:val="nil"/>
              <w:bottom w:val="single" w:sz="4" w:space="0" w:color="auto"/>
              <w:right w:val="single" w:sz="4" w:space="0" w:color="auto"/>
            </w:tcBorders>
            <w:noWrap/>
            <w:vAlign w:val="bottom"/>
            <w:hideMark/>
          </w:tcPr>
          <w:p w14:paraId="03EE76FA"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163</w:t>
            </w:r>
          </w:p>
        </w:tc>
        <w:tc>
          <w:tcPr>
            <w:tcW w:w="1800" w:type="dxa"/>
            <w:tcBorders>
              <w:top w:val="nil"/>
              <w:left w:val="nil"/>
              <w:bottom w:val="nil"/>
              <w:right w:val="nil"/>
            </w:tcBorders>
            <w:noWrap/>
            <w:vAlign w:val="bottom"/>
            <w:hideMark/>
          </w:tcPr>
          <w:p w14:paraId="6E570599"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46E620CA"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41748A1"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podkarpackie</w:t>
            </w:r>
          </w:p>
        </w:tc>
        <w:tc>
          <w:tcPr>
            <w:tcW w:w="2182" w:type="dxa"/>
            <w:tcBorders>
              <w:top w:val="nil"/>
              <w:left w:val="nil"/>
              <w:bottom w:val="single" w:sz="4" w:space="0" w:color="auto"/>
              <w:right w:val="single" w:sz="4" w:space="0" w:color="auto"/>
            </w:tcBorders>
            <w:noWrap/>
            <w:vAlign w:val="bottom"/>
            <w:hideMark/>
          </w:tcPr>
          <w:p w14:paraId="6C4A3D86"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172</w:t>
            </w:r>
          </w:p>
        </w:tc>
        <w:tc>
          <w:tcPr>
            <w:tcW w:w="2108" w:type="dxa"/>
            <w:tcBorders>
              <w:top w:val="nil"/>
              <w:left w:val="nil"/>
              <w:bottom w:val="single" w:sz="4" w:space="0" w:color="auto"/>
              <w:right w:val="single" w:sz="4" w:space="0" w:color="auto"/>
            </w:tcBorders>
            <w:noWrap/>
            <w:vAlign w:val="bottom"/>
            <w:hideMark/>
          </w:tcPr>
          <w:p w14:paraId="7727333D"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203</w:t>
            </w:r>
          </w:p>
        </w:tc>
        <w:tc>
          <w:tcPr>
            <w:tcW w:w="1800" w:type="dxa"/>
            <w:tcBorders>
              <w:top w:val="nil"/>
              <w:left w:val="nil"/>
              <w:bottom w:val="nil"/>
              <w:right w:val="nil"/>
            </w:tcBorders>
            <w:noWrap/>
            <w:vAlign w:val="bottom"/>
            <w:hideMark/>
          </w:tcPr>
          <w:p w14:paraId="35E5AB37"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000A16EE"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0584CDFD"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podlaskie</w:t>
            </w:r>
          </w:p>
        </w:tc>
        <w:tc>
          <w:tcPr>
            <w:tcW w:w="2182" w:type="dxa"/>
            <w:tcBorders>
              <w:top w:val="nil"/>
              <w:left w:val="nil"/>
              <w:bottom w:val="single" w:sz="4" w:space="0" w:color="auto"/>
              <w:right w:val="single" w:sz="4" w:space="0" w:color="auto"/>
            </w:tcBorders>
            <w:noWrap/>
            <w:vAlign w:val="bottom"/>
            <w:hideMark/>
          </w:tcPr>
          <w:p w14:paraId="52DF05E7"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127</w:t>
            </w:r>
          </w:p>
        </w:tc>
        <w:tc>
          <w:tcPr>
            <w:tcW w:w="2108" w:type="dxa"/>
            <w:tcBorders>
              <w:top w:val="nil"/>
              <w:left w:val="nil"/>
              <w:bottom w:val="single" w:sz="4" w:space="0" w:color="auto"/>
              <w:right w:val="single" w:sz="4" w:space="0" w:color="auto"/>
            </w:tcBorders>
            <w:noWrap/>
            <w:vAlign w:val="bottom"/>
            <w:hideMark/>
          </w:tcPr>
          <w:p w14:paraId="50F24216"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131</w:t>
            </w:r>
          </w:p>
        </w:tc>
        <w:tc>
          <w:tcPr>
            <w:tcW w:w="1800" w:type="dxa"/>
            <w:tcBorders>
              <w:top w:val="nil"/>
              <w:left w:val="nil"/>
              <w:bottom w:val="nil"/>
              <w:right w:val="nil"/>
            </w:tcBorders>
            <w:noWrap/>
            <w:vAlign w:val="bottom"/>
            <w:hideMark/>
          </w:tcPr>
          <w:p w14:paraId="78DE37A8"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02E02D45"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1E1E5558"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pomorskie</w:t>
            </w:r>
          </w:p>
        </w:tc>
        <w:tc>
          <w:tcPr>
            <w:tcW w:w="2182" w:type="dxa"/>
            <w:tcBorders>
              <w:top w:val="nil"/>
              <w:left w:val="nil"/>
              <w:bottom w:val="single" w:sz="4" w:space="0" w:color="auto"/>
              <w:right w:val="single" w:sz="4" w:space="0" w:color="auto"/>
            </w:tcBorders>
            <w:noWrap/>
            <w:vAlign w:val="bottom"/>
            <w:hideMark/>
          </w:tcPr>
          <w:p w14:paraId="0CBCE33F"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140</w:t>
            </w:r>
          </w:p>
        </w:tc>
        <w:tc>
          <w:tcPr>
            <w:tcW w:w="2108" w:type="dxa"/>
            <w:tcBorders>
              <w:top w:val="nil"/>
              <w:left w:val="nil"/>
              <w:bottom w:val="single" w:sz="4" w:space="0" w:color="auto"/>
              <w:right w:val="single" w:sz="4" w:space="0" w:color="auto"/>
            </w:tcBorders>
            <w:noWrap/>
            <w:vAlign w:val="bottom"/>
            <w:hideMark/>
          </w:tcPr>
          <w:p w14:paraId="45669392"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164</w:t>
            </w:r>
          </w:p>
        </w:tc>
        <w:tc>
          <w:tcPr>
            <w:tcW w:w="1800" w:type="dxa"/>
            <w:tcBorders>
              <w:top w:val="nil"/>
              <w:left w:val="nil"/>
              <w:bottom w:val="nil"/>
              <w:right w:val="nil"/>
            </w:tcBorders>
            <w:noWrap/>
            <w:vAlign w:val="bottom"/>
            <w:hideMark/>
          </w:tcPr>
          <w:p w14:paraId="0B381DE9"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08DF5B78"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D355754"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śląskie</w:t>
            </w:r>
          </w:p>
        </w:tc>
        <w:tc>
          <w:tcPr>
            <w:tcW w:w="2182" w:type="dxa"/>
            <w:tcBorders>
              <w:top w:val="nil"/>
              <w:left w:val="nil"/>
              <w:bottom w:val="single" w:sz="4" w:space="0" w:color="auto"/>
              <w:right w:val="single" w:sz="4" w:space="0" w:color="auto"/>
            </w:tcBorders>
            <w:noWrap/>
            <w:vAlign w:val="bottom"/>
            <w:hideMark/>
          </w:tcPr>
          <w:p w14:paraId="32641240"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330</w:t>
            </w:r>
          </w:p>
        </w:tc>
        <w:tc>
          <w:tcPr>
            <w:tcW w:w="2108" w:type="dxa"/>
            <w:tcBorders>
              <w:top w:val="nil"/>
              <w:left w:val="nil"/>
              <w:bottom w:val="single" w:sz="4" w:space="0" w:color="auto"/>
              <w:right w:val="single" w:sz="4" w:space="0" w:color="auto"/>
            </w:tcBorders>
            <w:noWrap/>
            <w:vAlign w:val="bottom"/>
            <w:hideMark/>
          </w:tcPr>
          <w:p w14:paraId="441CFED6"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384</w:t>
            </w:r>
          </w:p>
        </w:tc>
        <w:tc>
          <w:tcPr>
            <w:tcW w:w="1800" w:type="dxa"/>
            <w:tcBorders>
              <w:top w:val="nil"/>
              <w:left w:val="nil"/>
              <w:bottom w:val="nil"/>
              <w:right w:val="nil"/>
            </w:tcBorders>
            <w:noWrap/>
            <w:vAlign w:val="bottom"/>
            <w:hideMark/>
          </w:tcPr>
          <w:p w14:paraId="27692C90"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33A30F57"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7BC4C52F"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świętokrzyskie</w:t>
            </w:r>
          </w:p>
        </w:tc>
        <w:tc>
          <w:tcPr>
            <w:tcW w:w="2182" w:type="dxa"/>
            <w:tcBorders>
              <w:top w:val="nil"/>
              <w:left w:val="nil"/>
              <w:bottom w:val="single" w:sz="4" w:space="0" w:color="auto"/>
              <w:right w:val="single" w:sz="4" w:space="0" w:color="auto"/>
            </w:tcBorders>
            <w:noWrap/>
            <w:vAlign w:val="bottom"/>
            <w:hideMark/>
          </w:tcPr>
          <w:p w14:paraId="46CD9DED"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93</w:t>
            </w:r>
          </w:p>
        </w:tc>
        <w:tc>
          <w:tcPr>
            <w:tcW w:w="2108" w:type="dxa"/>
            <w:tcBorders>
              <w:top w:val="nil"/>
              <w:left w:val="nil"/>
              <w:bottom w:val="single" w:sz="4" w:space="0" w:color="auto"/>
              <w:right w:val="single" w:sz="4" w:space="0" w:color="auto"/>
            </w:tcBorders>
            <w:noWrap/>
            <w:vAlign w:val="bottom"/>
            <w:hideMark/>
          </w:tcPr>
          <w:p w14:paraId="59305EB1"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110</w:t>
            </w:r>
          </w:p>
        </w:tc>
        <w:tc>
          <w:tcPr>
            <w:tcW w:w="1800" w:type="dxa"/>
            <w:tcBorders>
              <w:top w:val="nil"/>
              <w:left w:val="nil"/>
              <w:bottom w:val="nil"/>
              <w:right w:val="nil"/>
            </w:tcBorders>
            <w:noWrap/>
            <w:vAlign w:val="bottom"/>
            <w:hideMark/>
          </w:tcPr>
          <w:p w14:paraId="2FADA516"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41F0618D"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119047FD"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warmińsko-mazurskie</w:t>
            </w:r>
          </w:p>
        </w:tc>
        <w:tc>
          <w:tcPr>
            <w:tcW w:w="2182" w:type="dxa"/>
            <w:tcBorders>
              <w:top w:val="nil"/>
              <w:left w:val="nil"/>
              <w:bottom w:val="single" w:sz="4" w:space="0" w:color="auto"/>
              <w:right w:val="single" w:sz="4" w:space="0" w:color="auto"/>
            </w:tcBorders>
            <w:noWrap/>
            <w:vAlign w:val="bottom"/>
            <w:hideMark/>
          </w:tcPr>
          <w:p w14:paraId="67265E0B"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111</w:t>
            </w:r>
          </w:p>
        </w:tc>
        <w:tc>
          <w:tcPr>
            <w:tcW w:w="2108" w:type="dxa"/>
            <w:tcBorders>
              <w:top w:val="nil"/>
              <w:left w:val="nil"/>
              <w:bottom w:val="single" w:sz="4" w:space="0" w:color="auto"/>
              <w:right w:val="single" w:sz="4" w:space="0" w:color="auto"/>
            </w:tcBorders>
            <w:noWrap/>
            <w:vAlign w:val="bottom"/>
            <w:hideMark/>
          </w:tcPr>
          <w:p w14:paraId="45F2C17C"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122</w:t>
            </w:r>
          </w:p>
        </w:tc>
        <w:tc>
          <w:tcPr>
            <w:tcW w:w="1800" w:type="dxa"/>
            <w:tcBorders>
              <w:top w:val="nil"/>
              <w:left w:val="nil"/>
              <w:bottom w:val="nil"/>
              <w:right w:val="nil"/>
            </w:tcBorders>
            <w:noWrap/>
            <w:vAlign w:val="bottom"/>
            <w:hideMark/>
          </w:tcPr>
          <w:p w14:paraId="0CF584B2"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5A9D1296"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3DDB439A"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wielkopolskie</w:t>
            </w:r>
          </w:p>
        </w:tc>
        <w:tc>
          <w:tcPr>
            <w:tcW w:w="2182" w:type="dxa"/>
            <w:tcBorders>
              <w:top w:val="nil"/>
              <w:left w:val="nil"/>
              <w:bottom w:val="single" w:sz="4" w:space="0" w:color="auto"/>
              <w:right w:val="single" w:sz="4" w:space="0" w:color="auto"/>
            </w:tcBorders>
            <w:noWrap/>
            <w:vAlign w:val="bottom"/>
            <w:hideMark/>
          </w:tcPr>
          <w:p w14:paraId="1FBD3B92"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578</w:t>
            </w:r>
          </w:p>
        </w:tc>
        <w:tc>
          <w:tcPr>
            <w:tcW w:w="2108" w:type="dxa"/>
            <w:tcBorders>
              <w:top w:val="nil"/>
              <w:left w:val="nil"/>
              <w:bottom w:val="single" w:sz="4" w:space="0" w:color="auto"/>
              <w:right w:val="single" w:sz="4" w:space="0" w:color="auto"/>
            </w:tcBorders>
            <w:noWrap/>
            <w:vAlign w:val="bottom"/>
            <w:hideMark/>
          </w:tcPr>
          <w:p w14:paraId="39A31499"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626</w:t>
            </w:r>
          </w:p>
        </w:tc>
        <w:tc>
          <w:tcPr>
            <w:tcW w:w="1800" w:type="dxa"/>
            <w:tcBorders>
              <w:top w:val="nil"/>
              <w:left w:val="nil"/>
              <w:bottom w:val="nil"/>
              <w:right w:val="nil"/>
            </w:tcBorders>
            <w:noWrap/>
            <w:vAlign w:val="bottom"/>
            <w:hideMark/>
          </w:tcPr>
          <w:p w14:paraId="405A1324"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225B35B4"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56DEDB68"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zachodniopomorskie</w:t>
            </w:r>
          </w:p>
        </w:tc>
        <w:tc>
          <w:tcPr>
            <w:tcW w:w="2182" w:type="dxa"/>
            <w:tcBorders>
              <w:top w:val="nil"/>
              <w:left w:val="nil"/>
              <w:bottom w:val="single" w:sz="4" w:space="0" w:color="auto"/>
              <w:right w:val="single" w:sz="4" w:space="0" w:color="auto"/>
            </w:tcBorders>
            <w:noWrap/>
            <w:vAlign w:val="bottom"/>
            <w:hideMark/>
          </w:tcPr>
          <w:p w14:paraId="3E941998"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200</w:t>
            </w:r>
          </w:p>
        </w:tc>
        <w:tc>
          <w:tcPr>
            <w:tcW w:w="2108" w:type="dxa"/>
            <w:tcBorders>
              <w:top w:val="nil"/>
              <w:left w:val="nil"/>
              <w:bottom w:val="single" w:sz="4" w:space="0" w:color="auto"/>
              <w:right w:val="single" w:sz="4" w:space="0" w:color="auto"/>
            </w:tcBorders>
            <w:noWrap/>
            <w:vAlign w:val="bottom"/>
            <w:hideMark/>
          </w:tcPr>
          <w:p w14:paraId="52A6BCE0"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211</w:t>
            </w:r>
          </w:p>
        </w:tc>
        <w:tc>
          <w:tcPr>
            <w:tcW w:w="1800" w:type="dxa"/>
            <w:tcBorders>
              <w:top w:val="nil"/>
              <w:left w:val="nil"/>
              <w:bottom w:val="nil"/>
              <w:right w:val="nil"/>
            </w:tcBorders>
            <w:noWrap/>
            <w:vAlign w:val="bottom"/>
            <w:hideMark/>
          </w:tcPr>
          <w:p w14:paraId="61A8C35A" w14:textId="77777777" w:rsidR="00A9405D" w:rsidRPr="00A9405D" w:rsidRDefault="00A9405D" w:rsidP="00A9405D">
            <w:pPr>
              <w:spacing w:line="240" w:lineRule="auto"/>
              <w:jc w:val="right"/>
              <w:rPr>
                <w:rFonts w:eastAsia="Times New Roman" w:cs="Calibri"/>
                <w:color w:val="000000"/>
                <w:lang w:eastAsia="pl-PL"/>
              </w:rPr>
            </w:pPr>
          </w:p>
        </w:tc>
      </w:tr>
      <w:tr w:rsidR="00A9405D" w:rsidRPr="00A9405D" w14:paraId="30DE35A4"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20280459"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c>
          <w:tcPr>
            <w:tcW w:w="2182" w:type="dxa"/>
            <w:tcBorders>
              <w:top w:val="nil"/>
              <w:left w:val="nil"/>
              <w:bottom w:val="single" w:sz="4" w:space="0" w:color="auto"/>
              <w:right w:val="single" w:sz="4" w:space="0" w:color="auto"/>
            </w:tcBorders>
            <w:noWrap/>
            <w:vAlign w:val="bottom"/>
            <w:hideMark/>
          </w:tcPr>
          <w:p w14:paraId="3A3B8886" w14:textId="77777777" w:rsidR="00A9405D" w:rsidRPr="00A9405D" w:rsidRDefault="00A9405D" w:rsidP="00A9405D">
            <w:pPr>
              <w:spacing w:line="240" w:lineRule="auto"/>
              <w:jc w:val="right"/>
              <w:rPr>
                <w:rFonts w:eastAsia="Times New Roman" w:cs="Calibri"/>
                <w:b/>
                <w:bCs/>
                <w:color w:val="000000"/>
                <w:lang w:eastAsia="pl-PL"/>
              </w:rPr>
            </w:pPr>
            <w:r w:rsidRPr="00A9405D">
              <w:rPr>
                <w:rFonts w:eastAsia="Times New Roman" w:cs="Calibri"/>
                <w:b/>
                <w:bCs/>
                <w:color w:val="000000"/>
                <w:lang w:eastAsia="pl-PL"/>
              </w:rPr>
              <w:t>3592</w:t>
            </w:r>
          </w:p>
        </w:tc>
        <w:tc>
          <w:tcPr>
            <w:tcW w:w="2108" w:type="dxa"/>
            <w:tcBorders>
              <w:top w:val="nil"/>
              <w:left w:val="nil"/>
              <w:bottom w:val="single" w:sz="4" w:space="0" w:color="auto"/>
              <w:right w:val="single" w:sz="4" w:space="0" w:color="auto"/>
            </w:tcBorders>
            <w:noWrap/>
            <w:vAlign w:val="bottom"/>
            <w:hideMark/>
          </w:tcPr>
          <w:p w14:paraId="18F14D61" w14:textId="77777777" w:rsidR="00A9405D" w:rsidRPr="00A9405D" w:rsidRDefault="00A9405D" w:rsidP="00A9405D">
            <w:pPr>
              <w:spacing w:line="240" w:lineRule="auto"/>
              <w:jc w:val="right"/>
              <w:rPr>
                <w:rFonts w:eastAsia="Times New Roman" w:cs="Calibri"/>
                <w:b/>
                <w:bCs/>
                <w:color w:val="000000"/>
                <w:lang w:eastAsia="pl-PL"/>
              </w:rPr>
            </w:pPr>
            <w:r w:rsidRPr="00A9405D">
              <w:rPr>
                <w:rFonts w:eastAsia="Times New Roman" w:cs="Calibri"/>
                <w:b/>
                <w:bCs/>
                <w:color w:val="000000"/>
                <w:lang w:eastAsia="pl-PL"/>
              </w:rPr>
              <w:t>4062</w:t>
            </w:r>
          </w:p>
        </w:tc>
        <w:tc>
          <w:tcPr>
            <w:tcW w:w="1800" w:type="dxa"/>
            <w:tcBorders>
              <w:top w:val="nil"/>
              <w:left w:val="nil"/>
              <w:bottom w:val="nil"/>
              <w:right w:val="nil"/>
            </w:tcBorders>
            <w:noWrap/>
            <w:vAlign w:val="bottom"/>
            <w:hideMark/>
          </w:tcPr>
          <w:p w14:paraId="7C324DC3" w14:textId="77777777" w:rsidR="00A9405D" w:rsidRPr="00A9405D" w:rsidRDefault="00A9405D" w:rsidP="00A9405D">
            <w:pPr>
              <w:spacing w:line="240" w:lineRule="auto"/>
              <w:jc w:val="right"/>
              <w:rPr>
                <w:rFonts w:eastAsia="Times New Roman" w:cs="Calibri"/>
                <w:b/>
                <w:bCs/>
                <w:color w:val="000000"/>
                <w:lang w:eastAsia="pl-PL"/>
              </w:rPr>
            </w:pPr>
          </w:p>
        </w:tc>
      </w:tr>
      <w:tr w:rsidR="00A9405D" w:rsidRPr="00A9405D" w14:paraId="301A9FF0" w14:textId="77777777" w:rsidTr="00A9405D">
        <w:trPr>
          <w:trHeight w:val="288"/>
        </w:trPr>
        <w:tc>
          <w:tcPr>
            <w:tcW w:w="3470" w:type="dxa"/>
            <w:tcBorders>
              <w:top w:val="nil"/>
              <w:left w:val="nil"/>
              <w:bottom w:val="nil"/>
              <w:right w:val="nil"/>
            </w:tcBorders>
            <w:noWrap/>
            <w:vAlign w:val="bottom"/>
            <w:hideMark/>
          </w:tcPr>
          <w:p w14:paraId="57BC9B89" w14:textId="77777777" w:rsidR="00A9405D" w:rsidRPr="00A9405D" w:rsidRDefault="00A9405D" w:rsidP="00A9405D">
            <w:pPr>
              <w:spacing w:line="240" w:lineRule="auto"/>
              <w:rPr>
                <w:rFonts w:ascii="Times New Roman" w:eastAsia="Times New Roman" w:hAnsi="Times New Roman"/>
                <w:sz w:val="20"/>
                <w:szCs w:val="20"/>
                <w:lang w:eastAsia="pl-PL"/>
              </w:rPr>
            </w:pPr>
          </w:p>
        </w:tc>
        <w:tc>
          <w:tcPr>
            <w:tcW w:w="2182" w:type="dxa"/>
            <w:tcBorders>
              <w:top w:val="nil"/>
              <w:left w:val="nil"/>
              <w:bottom w:val="nil"/>
              <w:right w:val="nil"/>
            </w:tcBorders>
            <w:noWrap/>
            <w:vAlign w:val="bottom"/>
            <w:hideMark/>
          </w:tcPr>
          <w:p w14:paraId="79A7B121" w14:textId="77777777" w:rsidR="00A9405D" w:rsidRPr="00A9405D" w:rsidRDefault="00A9405D" w:rsidP="00A9405D">
            <w:pPr>
              <w:spacing w:line="240" w:lineRule="auto"/>
              <w:rPr>
                <w:rFonts w:ascii="Times New Roman" w:eastAsia="Times New Roman" w:hAnsi="Times New Roman"/>
                <w:sz w:val="20"/>
                <w:szCs w:val="20"/>
                <w:lang w:eastAsia="pl-PL"/>
              </w:rPr>
            </w:pPr>
          </w:p>
        </w:tc>
        <w:tc>
          <w:tcPr>
            <w:tcW w:w="2108" w:type="dxa"/>
            <w:tcBorders>
              <w:top w:val="nil"/>
              <w:left w:val="nil"/>
              <w:bottom w:val="nil"/>
              <w:right w:val="nil"/>
            </w:tcBorders>
            <w:noWrap/>
            <w:vAlign w:val="bottom"/>
            <w:hideMark/>
          </w:tcPr>
          <w:p w14:paraId="31434171" w14:textId="77777777" w:rsidR="00A9405D" w:rsidRPr="00A9405D" w:rsidRDefault="00A9405D" w:rsidP="00A9405D">
            <w:pPr>
              <w:spacing w:line="240" w:lineRule="auto"/>
              <w:rPr>
                <w:rFonts w:ascii="Times New Roman" w:eastAsia="Times New Roman" w:hAnsi="Times New Roman"/>
                <w:sz w:val="20"/>
                <w:szCs w:val="20"/>
                <w:lang w:eastAsia="pl-PL"/>
              </w:rPr>
            </w:pPr>
          </w:p>
        </w:tc>
        <w:tc>
          <w:tcPr>
            <w:tcW w:w="1800" w:type="dxa"/>
            <w:tcBorders>
              <w:top w:val="nil"/>
              <w:left w:val="nil"/>
              <w:bottom w:val="nil"/>
              <w:right w:val="nil"/>
            </w:tcBorders>
            <w:noWrap/>
            <w:vAlign w:val="bottom"/>
            <w:hideMark/>
          </w:tcPr>
          <w:p w14:paraId="7C3248AA" w14:textId="77777777" w:rsidR="00A9405D" w:rsidRPr="00A9405D" w:rsidRDefault="00A9405D" w:rsidP="00A9405D">
            <w:pPr>
              <w:spacing w:line="240" w:lineRule="auto"/>
              <w:rPr>
                <w:rFonts w:ascii="Times New Roman" w:eastAsia="Times New Roman" w:hAnsi="Times New Roman"/>
                <w:sz w:val="20"/>
                <w:szCs w:val="20"/>
                <w:lang w:eastAsia="pl-PL"/>
              </w:rPr>
            </w:pPr>
          </w:p>
        </w:tc>
      </w:tr>
      <w:tr w:rsidR="00A9405D" w:rsidRPr="00A9405D" w14:paraId="5D5F7F45" w14:textId="77777777" w:rsidTr="00A9405D">
        <w:trPr>
          <w:trHeight w:val="288"/>
        </w:trPr>
        <w:tc>
          <w:tcPr>
            <w:tcW w:w="3470" w:type="dxa"/>
            <w:tcBorders>
              <w:top w:val="single" w:sz="4" w:space="0" w:color="auto"/>
              <w:left w:val="single" w:sz="4" w:space="0" w:color="auto"/>
              <w:bottom w:val="nil"/>
              <w:right w:val="nil"/>
            </w:tcBorders>
            <w:shd w:val="clear" w:color="000000" w:fill="B8CCE4"/>
            <w:noWrap/>
            <w:vAlign w:val="bottom"/>
            <w:hideMark/>
          </w:tcPr>
          <w:p w14:paraId="08768F89" w14:textId="77777777" w:rsidR="00A9405D" w:rsidRPr="00A9405D" w:rsidRDefault="00A9405D" w:rsidP="00A9405D">
            <w:pPr>
              <w:spacing w:line="240" w:lineRule="auto"/>
              <w:rPr>
                <w:rFonts w:eastAsia="Times New Roman" w:cs="Calibri"/>
                <w:b/>
                <w:bCs/>
                <w:color w:val="000000"/>
                <w:lang w:eastAsia="pl-PL"/>
              </w:rPr>
            </w:pPr>
            <w:r w:rsidRPr="00A9405D">
              <w:rPr>
                <w:rFonts w:eastAsia="Times New Roman" w:cs="Calibri"/>
                <w:b/>
                <w:bCs/>
                <w:color w:val="000000"/>
                <w:lang w:eastAsia="pl-PL"/>
              </w:rPr>
              <w:t>WARIANT II</w:t>
            </w:r>
          </w:p>
        </w:tc>
        <w:tc>
          <w:tcPr>
            <w:tcW w:w="2182" w:type="dxa"/>
            <w:tcBorders>
              <w:top w:val="single" w:sz="4" w:space="0" w:color="auto"/>
              <w:left w:val="nil"/>
              <w:bottom w:val="nil"/>
              <w:right w:val="nil"/>
            </w:tcBorders>
            <w:shd w:val="clear" w:color="000000" w:fill="B8CCE4"/>
            <w:noWrap/>
            <w:vAlign w:val="bottom"/>
            <w:hideMark/>
          </w:tcPr>
          <w:p w14:paraId="476D29F9" w14:textId="77777777" w:rsidR="00A9405D" w:rsidRPr="00A9405D" w:rsidRDefault="00A9405D" w:rsidP="00A9405D">
            <w:pPr>
              <w:spacing w:line="240" w:lineRule="auto"/>
              <w:rPr>
                <w:rFonts w:eastAsia="Times New Roman" w:cs="Calibri"/>
                <w:b/>
                <w:bCs/>
                <w:color w:val="000000"/>
                <w:lang w:eastAsia="pl-PL"/>
              </w:rPr>
            </w:pPr>
            <w:r w:rsidRPr="00A9405D">
              <w:rPr>
                <w:rFonts w:eastAsia="Times New Roman" w:cs="Calibri"/>
                <w:b/>
                <w:bCs/>
                <w:color w:val="000000"/>
                <w:lang w:eastAsia="pl-PL"/>
              </w:rPr>
              <w:t> </w:t>
            </w:r>
          </w:p>
        </w:tc>
        <w:tc>
          <w:tcPr>
            <w:tcW w:w="2108" w:type="dxa"/>
            <w:tcBorders>
              <w:top w:val="single" w:sz="4" w:space="0" w:color="auto"/>
              <w:left w:val="nil"/>
              <w:bottom w:val="nil"/>
              <w:right w:val="nil"/>
            </w:tcBorders>
            <w:shd w:val="clear" w:color="000000" w:fill="B8CCE4"/>
            <w:noWrap/>
            <w:vAlign w:val="bottom"/>
            <w:hideMark/>
          </w:tcPr>
          <w:p w14:paraId="41F01FEE" w14:textId="77777777" w:rsidR="00A9405D" w:rsidRPr="00A9405D" w:rsidRDefault="00A9405D" w:rsidP="00A9405D">
            <w:pPr>
              <w:spacing w:line="240" w:lineRule="auto"/>
              <w:rPr>
                <w:rFonts w:eastAsia="Times New Roman" w:cs="Calibri"/>
                <w:b/>
                <w:bCs/>
                <w:color w:val="000000"/>
                <w:lang w:eastAsia="pl-PL"/>
              </w:rPr>
            </w:pPr>
            <w:r w:rsidRPr="00A9405D">
              <w:rPr>
                <w:rFonts w:eastAsia="Times New Roman" w:cs="Calibri"/>
                <w:b/>
                <w:bCs/>
                <w:color w:val="000000"/>
                <w:lang w:eastAsia="pl-PL"/>
              </w:rPr>
              <w:t> </w:t>
            </w:r>
          </w:p>
        </w:tc>
        <w:tc>
          <w:tcPr>
            <w:tcW w:w="1800" w:type="dxa"/>
            <w:tcBorders>
              <w:top w:val="single" w:sz="4" w:space="0" w:color="auto"/>
              <w:left w:val="nil"/>
              <w:bottom w:val="nil"/>
              <w:right w:val="single" w:sz="4" w:space="0" w:color="auto"/>
            </w:tcBorders>
            <w:shd w:val="clear" w:color="000000" w:fill="B8CCE4"/>
            <w:noWrap/>
            <w:vAlign w:val="bottom"/>
            <w:hideMark/>
          </w:tcPr>
          <w:p w14:paraId="3405CB92"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r>
      <w:tr w:rsidR="00A9405D" w:rsidRPr="00A9405D" w14:paraId="7A7323A9" w14:textId="77777777" w:rsidTr="00A9405D">
        <w:trPr>
          <w:trHeight w:val="288"/>
        </w:trPr>
        <w:tc>
          <w:tcPr>
            <w:tcW w:w="9560" w:type="dxa"/>
            <w:gridSpan w:val="4"/>
            <w:tcBorders>
              <w:top w:val="nil"/>
              <w:left w:val="single" w:sz="4" w:space="0" w:color="auto"/>
              <w:bottom w:val="single" w:sz="4" w:space="0" w:color="auto"/>
              <w:right w:val="single" w:sz="4" w:space="0" w:color="000000"/>
            </w:tcBorders>
            <w:shd w:val="clear" w:color="000000" w:fill="B8CCE4"/>
            <w:noWrap/>
            <w:vAlign w:val="bottom"/>
            <w:hideMark/>
          </w:tcPr>
          <w:p w14:paraId="33A2751A" w14:textId="22CEC45C" w:rsidR="00A9405D" w:rsidRPr="00A9405D" w:rsidRDefault="00A9405D" w:rsidP="00A9405D">
            <w:pPr>
              <w:spacing w:line="240" w:lineRule="auto"/>
              <w:rPr>
                <w:rFonts w:eastAsia="Times New Roman" w:cs="Calibri"/>
                <w:b/>
                <w:bCs/>
                <w:color w:val="000000"/>
                <w:lang w:eastAsia="pl-PL"/>
              </w:rPr>
            </w:pPr>
            <w:r w:rsidRPr="00A9405D">
              <w:rPr>
                <w:rFonts w:eastAsia="Times New Roman" w:cs="Calibri"/>
                <w:b/>
                <w:bCs/>
                <w:color w:val="000000"/>
                <w:lang w:eastAsia="pl-PL"/>
              </w:rPr>
              <w:t xml:space="preserve">starosta </w:t>
            </w:r>
            <w:r w:rsidR="007D358E">
              <w:rPr>
                <w:rFonts w:eastAsia="Times New Roman" w:cs="Calibri"/>
                <w:b/>
                <w:bCs/>
                <w:color w:val="000000"/>
                <w:lang w:eastAsia="pl-PL"/>
              </w:rPr>
              <w:t>–</w:t>
            </w:r>
            <w:r w:rsidRPr="00A9405D">
              <w:rPr>
                <w:rFonts w:eastAsia="Times New Roman" w:cs="Calibri"/>
                <w:b/>
                <w:bCs/>
                <w:color w:val="000000"/>
                <w:lang w:eastAsia="pl-PL"/>
              </w:rPr>
              <w:t xml:space="preserve"> </w:t>
            </w:r>
            <w:r w:rsidR="007D358E">
              <w:rPr>
                <w:rFonts w:eastAsia="Times New Roman" w:cs="Calibri"/>
                <w:b/>
                <w:bCs/>
                <w:color w:val="000000"/>
                <w:lang w:eastAsia="pl-PL"/>
              </w:rPr>
              <w:t xml:space="preserve">ust. </w:t>
            </w:r>
            <w:r w:rsidRPr="00A9405D">
              <w:rPr>
                <w:rFonts w:eastAsia="Times New Roman" w:cs="Calibri"/>
                <w:b/>
                <w:bCs/>
                <w:color w:val="000000"/>
                <w:lang w:eastAsia="pl-PL"/>
              </w:rPr>
              <w:t xml:space="preserve">1 </w:t>
            </w:r>
            <w:r w:rsidR="00510C25">
              <w:rPr>
                <w:rFonts w:eastAsia="Times New Roman" w:cs="Calibri"/>
                <w:b/>
                <w:bCs/>
                <w:color w:val="000000"/>
                <w:lang w:eastAsia="pl-PL"/>
              </w:rPr>
              <w:t xml:space="preserve">pkt 1 </w:t>
            </w:r>
            <w:r w:rsidRPr="00A9405D">
              <w:rPr>
                <w:rFonts w:eastAsia="Times New Roman" w:cs="Calibri"/>
                <w:b/>
                <w:bCs/>
                <w:color w:val="000000"/>
                <w:lang w:eastAsia="pl-PL"/>
              </w:rPr>
              <w:t>(&lt;</w:t>
            </w:r>
            <w:r w:rsidR="007D358E">
              <w:rPr>
                <w:rFonts w:eastAsia="Times New Roman" w:cs="Calibri"/>
                <w:b/>
                <w:bCs/>
                <w:color w:val="000000"/>
                <w:lang w:eastAsia="pl-PL"/>
              </w:rPr>
              <w:t xml:space="preserve"> </w:t>
            </w:r>
            <w:r w:rsidRPr="00A9405D">
              <w:rPr>
                <w:rFonts w:eastAsia="Times New Roman" w:cs="Calibri"/>
                <w:b/>
                <w:bCs/>
                <w:color w:val="000000"/>
                <w:lang w:eastAsia="pl-PL"/>
              </w:rPr>
              <w:t xml:space="preserve">300 MW), </w:t>
            </w:r>
            <w:r w:rsidR="007D358E">
              <w:rPr>
                <w:rFonts w:eastAsia="Times New Roman" w:cs="Calibri"/>
                <w:b/>
                <w:bCs/>
                <w:color w:val="000000"/>
                <w:lang w:eastAsia="pl-PL"/>
              </w:rPr>
              <w:t xml:space="preserve">ust. </w:t>
            </w:r>
            <w:r w:rsidRPr="00A9405D">
              <w:rPr>
                <w:rFonts w:eastAsia="Times New Roman" w:cs="Calibri"/>
                <w:b/>
                <w:bCs/>
                <w:color w:val="000000"/>
                <w:lang w:eastAsia="pl-PL"/>
              </w:rPr>
              <w:t xml:space="preserve">3 i </w:t>
            </w:r>
            <w:r w:rsidR="007D358E">
              <w:rPr>
                <w:rFonts w:eastAsia="Times New Roman" w:cs="Calibri"/>
                <w:b/>
                <w:bCs/>
                <w:color w:val="000000"/>
                <w:lang w:eastAsia="pl-PL"/>
              </w:rPr>
              <w:t xml:space="preserve">ust. </w:t>
            </w:r>
            <w:r w:rsidRPr="00A9405D">
              <w:rPr>
                <w:rFonts w:eastAsia="Times New Roman" w:cs="Calibri"/>
                <w:b/>
                <w:bCs/>
                <w:color w:val="000000"/>
                <w:lang w:eastAsia="pl-PL"/>
              </w:rPr>
              <w:t xml:space="preserve">6 bez </w:t>
            </w:r>
            <w:r w:rsidR="007D358E">
              <w:rPr>
                <w:rFonts w:eastAsia="Times New Roman" w:cs="Calibri"/>
                <w:b/>
                <w:bCs/>
                <w:color w:val="000000"/>
                <w:lang w:eastAsia="pl-PL"/>
              </w:rPr>
              <w:t xml:space="preserve">ust. </w:t>
            </w:r>
            <w:r w:rsidRPr="00A9405D">
              <w:rPr>
                <w:rFonts w:eastAsia="Times New Roman" w:cs="Calibri"/>
                <w:b/>
                <w:bCs/>
                <w:color w:val="000000"/>
                <w:lang w:eastAsia="pl-PL"/>
              </w:rPr>
              <w:t>6</w:t>
            </w:r>
            <w:r w:rsidR="007D358E">
              <w:rPr>
                <w:rFonts w:eastAsia="Times New Roman" w:cs="Calibri"/>
                <w:b/>
                <w:bCs/>
                <w:color w:val="000000"/>
                <w:lang w:eastAsia="pl-PL"/>
              </w:rPr>
              <w:t xml:space="preserve"> pkt </w:t>
            </w:r>
            <w:r w:rsidRPr="00A9405D">
              <w:rPr>
                <w:rFonts w:eastAsia="Times New Roman" w:cs="Calibri"/>
                <w:b/>
                <w:bCs/>
                <w:color w:val="000000"/>
                <w:lang w:eastAsia="pl-PL"/>
              </w:rPr>
              <w:t xml:space="preserve">8, marszałek </w:t>
            </w:r>
            <w:r w:rsidR="007D358E">
              <w:rPr>
                <w:rFonts w:eastAsia="Times New Roman" w:cs="Calibri"/>
                <w:b/>
                <w:bCs/>
                <w:color w:val="000000"/>
                <w:lang w:eastAsia="pl-PL"/>
              </w:rPr>
              <w:t xml:space="preserve">ust. </w:t>
            </w:r>
            <w:r w:rsidRPr="00A9405D">
              <w:rPr>
                <w:rFonts w:eastAsia="Times New Roman" w:cs="Calibri"/>
                <w:b/>
                <w:bCs/>
                <w:color w:val="000000"/>
                <w:lang w:eastAsia="pl-PL"/>
              </w:rPr>
              <w:t>1</w:t>
            </w:r>
            <w:r w:rsidR="00510C25">
              <w:rPr>
                <w:rFonts w:eastAsia="Times New Roman" w:cs="Calibri"/>
                <w:b/>
                <w:bCs/>
                <w:color w:val="000000"/>
                <w:lang w:eastAsia="pl-PL"/>
              </w:rPr>
              <w:t xml:space="preserve"> pkt 1 </w:t>
            </w:r>
            <w:r w:rsidRPr="00A9405D">
              <w:rPr>
                <w:rFonts w:eastAsia="Times New Roman" w:cs="Calibri"/>
                <w:b/>
                <w:bCs/>
                <w:color w:val="000000"/>
                <w:lang w:eastAsia="pl-PL"/>
              </w:rPr>
              <w:t>(</w:t>
            </w:r>
            <w:r w:rsidR="00510C25">
              <w:rPr>
                <w:rFonts w:eastAsia="Times New Roman" w:cs="Calibri"/>
                <w:b/>
                <w:bCs/>
                <w:color w:val="000000"/>
                <w:lang w:eastAsia="pl-PL"/>
              </w:rPr>
              <w:t>≥</w:t>
            </w:r>
            <w:r w:rsidRPr="00A9405D">
              <w:rPr>
                <w:rFonts w:eastAsia="Times New Roman" w:cs="Calibri"/>
                <w:b/>
                <w:bCs/>
                <w:color w:val="000000"/>
                <w:lang w:eastAsia="pl-PL"/>
              </w:rPr>
              <w:t xml:space="preserve"> 300 MW), </w:t>
            </w:r>
            <w:r w:rsidR="00510C25">
              <w:rPr>
                <w:rFonts w:eastAsia="Times New Roman" w:cs="Calibri"/>
                <w:b/>
                <w:bCs/>
                <w:color w:val="000000"/>
                <w:lang w:eastAsia="pl-PL"/>
              </w:rPr>
              <w:t xml:space="preserve">ust. 1, pkt 2, 3, 4, ust. </w:t>
            </w:r>
            <w:r w:rsidRPr="00A9405D">
              <w:rPr>
                <w:rFonts w:eastAsia="Times New Roman" w:cs="Calibri"/>
                <w:b/>
                <w:bCs/>
                <w:color w:val="000000"/>
                <w:lang w:eastAsia="pl-PL"/>
              </w:rPr>
              <w:t xml:space="preserve">2, </w:t>
            </w:r>
            <w:r w:rsidR="00510C25">
              <w:rPr>
                <w:rFonts w:eastAsia="Times New Roman" w:cs="Calibri"/>
                <w:b/>
                <w:bCs/>
                <w:color w:val="000000"/>
                <w:lang w:eastAsia="pl-PL"/>
              </w:rPr>
              <w:t xml:space="preserve">ust. </w:t>
            </w:r>
            <w:r w:rsidRPr="00A9405D">
              <w:rPr>
                <w:rFonts w:eastAsia="Times New Roman" w:cs="Calibri"/>
                <w:b/>
                <w:bCs/>
                <w:color w:val="000000"/>
                <w:lang w:eastAsia="pl-PL"/>
              </w:rPr>
              <w:t xml:space="preserve">4, </w:t>
            </w:r>
            <w:r w:rsidR="00510C25">
              <w:rPr>
                <w:rFonts w:eastAsia="Times New Roman" w:cs="Calibri"/>
                <w:b/>
                <w:bCs/>
                <w:color w:val="000000"/>
                <w:lang w:eastAsia="pl-PL"/>
              </w:rPr>
              <w:t xml:space="preserve">ust. </w:t>
            </w:r>
            <w:r w:rsidRPr="00A9405D">
              <w:rPr>
                <w:rFonts w:eastAsia="Times New Roman" w:cs="Calibri"/>
                <w:b/>
                <w:bCs/>
                <w:color w:val="000000"/>
                <w:lang w:eastAsia="pl-PL"/>
              </w:rPr>
              <w:t xml:space="preserve">5 i </w:t>
            </w:r>
            <w:r w:rsidR="00510C25">
              <w:rPr>
                <w:rFonts w:eastAsia="Times New Roman" w:cs="Calibri"/>
                <w:b/>
                <w:bCs/>
                <w:color w:val="000000"/>
                <w:lang w:eastAsia="pl-PL"/>
              </w:rPr>
              <w:t xml:space="preserve">ust. </w:t>
            </w:r>
            <w:r w:rsidRPr="00A9405D">
              <w:rPr>
                <w:rFonts w:eastAsia="Times New Roman" w:cs="Calibri"/>
                <w:b/>
                <w:bCs/>
                <w:color w:val="000000"/>
                <w:lang w:eastAsia="pl-PL"/>
              </w:rPr>
              <w:t>6</w:t>
            </w:r>
            <w:r w:rsidR="00510C25">
              <w:rPr>
                <w:rFonts w:eastAsia="Times New Roman" w:cs="Calibri"/>
                <w:b/>
                <w:bCs/>
                <w:color w:val="000000"/>
                <w:lang w:eastAsia="pl-PL"/>
              </w:rPr>
              <w:t xml:space="preserve"> pkt </w:t>
            </w:r>
            <w:r w:rsidRPr="00A9405D">
              <w:rPr>
                <w:rFonts w:eastAsia="Times New Roman" w:cs="Calibri"/>
                <w:b/>
                <w:bCs/>
                <w:color w:val="000000"/>
                <w:lang w:eastAsia="pl-PL"/>
              </w:rPr>
              <w:t>8)</w:t>
            </w:r>
          </w:p>
        </w:tc>
      </w:tr>
      <w:tr w:rsidR="00A9405D" w:rsidRPr="00A9405D" w14:paraId="0F4A3E54" w14:textId="77777777" w:rsidTr="00510C25">
        <w:trPr>
          <w:trHeight w:val="576"/>
        </w:trPr>
        <w:tc>
          <w:tcPr>
            <w:tcW w:w="3470" w:type="dxa"/>
            <w:tcBorders>
              <w:top w:val="nil"/>
              <w:left w:val="single" w:sz="4" w:space="0" w:color="auto"/>
              <w:bottom w:val="single" w:sz="4" w:space="0" w:color="auto"/>
              <w:right w:val="nil"/>
            </w:tcBorders>
            <w:vAlign w:val="bottom"/>
            <w:hideMark/>
          </w:tcPr>
          <w:p w14:paraId="2E2BF398" w14:textId="58B91592"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xml:space="preserve">Liczba pz z </w:t>
            </w:r>
            <w:r w:rsidR="007D358E">
              <w:rPr>
                <w:rFonts w:eastAsia="Times New Roman" w:cs="Calibri"/>
                <w:color w:val="000000"/>
                <w:lang w:eastAsia="pl-PL"/>
              </w:rPr>
              <w:t xml:space="preserve">ust. </w:t>
            </w:r>
            <w:r w:rsidRPr="00A9405D">
              <w:rPr>
                <w:rFonts w:eastAsia="Times New Roman" w:cs="Calibri"/>
                <w:color w:val="000000"/>
                <w:lang w:eastAsia="pl-PL"/>
              </w:rPr>
              <w:t xml:space="preserve">2, </w:t>
            </w:r>
            <w:r w:rsidR="007D358E">
              <w:rPr>
                <w:rFonts w:eastAsia="Times New Roman" w:cs="Calibri"/>
                <w:color w:val="000000"/>
                <w:lang w:eastAsia="pl-PL"/>
              </w:rPr>
              <w:t xml:space="preserve">ust. </w:t>
            </w:r>
            <w:r w:rsidRPr="00A9405D">
              <w:rPr>
                <w:rFonts w:eastAsia="Times New Roman" w:cs="Calibri"/>
                <w:color w:val="000000"/>
                <w:lang w:eastAsia="pl-PL"/>
              </w:rPr>
              <w:t>5 i</w:t>
            </w:r>
            <w:r w:rsidR="007D358E">
              <w:rPr>
                <w:rFonts w:eastAsia="Times New Roman" w:cs="Calibri"/>
                <w:color w:val="000000"/>
                <w:lang w:eastAsia="pl-PL"/>
              </w:rPr>
              <w:t xml:space="preserve"> ust.</w:t>
            </w:r>
            <w:r w:rsidRPr="00A9405D">
              <w:rPr>
                <w:rFonts w:eastAsia="Times New Roman" w:cs="Calibri"/>
                <w:color w:val="000000"/>
                <w:lang w:eastAsia="pl-PL"/>
              </w:rPr>
              <w:t xml:space="preserve"> 6</w:t>
            </w:r>
            <w:r w:rsidR="007D358E">
              <w:rPr>
                <w:rFonts w:eastAsia="Times New Roman" w:cs="Calibri"/>
                <w:color w:val="000000"/>
                <w:lang w:eastAsia="pl-PL"/>
              </w:rPr>
              <w:t xml:space="preserve"> pkt </w:t>
            </w:r>
            <w:r w:rsidRPr="00A9405D">
              <w:rPr>
                <w:rFonts w:eastAsia="Times New Roman" w:cs="Calibri"/>
                <w:color w:val="000000"/>
                <w:lang w:eastAsia="pl-PL"/>
              </w:rPr>
              <w:t>8, które przejdą od starosty do marszałka</w:t>
            </w:r>
          </w:p>
        </w:tc>
        <w:tc>
          <w:tcPr>
            <w:tcW w:w="2182" w:type="dxa"/>
            <w:tcBorders>
              <w:top w:val="nil"/>
              <w:left w:val="nil"/>
              <w:bottom w:val="single" w:sz="4" w:space="0" w:color="auto"/>
              <w:right w:val="nil"/>
            </w:tcBorders>
            <w:noWrap/>
            <w:vAlign w:val="bottom"/>
            <w:hideMark/>
          </w:tcPr>
          <w:p w14:paraId="672CE8F4"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119</w:t>
            </w:r>
          </w:p>
        </w:tc>
        <w:tc>
          <w:tcPr>
            <w:tcW w:w="2108" w:type="dxa"/>
            <w:tcBorders>
              <w:top w:val="nil"/>
              <w:left w:val="nil"/>
              <w:bottom w:val="single" w:sz="4" w:space="0" w:color="auto"/>
              <w:right w:val="nil"/>
            </w:tcBorders>
            <w:noWrap/>
            <w:vAlign w:val="bottom"/>
            <w:hideMark/>
          </w:tcPr>
          <w:p w14:paraId="40F1D792" w14:textId="77777777" w:rsidR="00A9405D" w:rsidRPr="00A9405D" w:rsidRDefault="00A9405D" w:rsidP="00A9405D">
            <w:pPr>
              <w:spacing w:line="240" w:lineRule="auto"/>
              <w:jc w:val="right"/>
              <w:rPr>
                <w:rFonts w:eastAsia="Times New Roman" w:cs="Calibri"/>
                <w:color w:val="000000"/>
                <w:lang w:eastAsia="pl-PL"/>
              </w:rPr>
            </w:pPr>
          </w:p>
        </w:tc>
        <w:tc>
          <w:tcPr>
            <w:tcW w:w="1800" w:type="dxa"/>
            <w:tcBorders>
              <w:top w:val="nil"/>
              <w:left w:val="nil"/>
              <w:bottom w:val="nil"/>
              <w:right w:val="single" w:sz="4" w:space="0" w:color="auto"/>
            </w:tcBorders>
            <w:noWrap/>
            <w:vAlign w:val="bottom"/>
            <w:hideMark/>
          </w:tcPr>
          <w:p w14:paraId="18E7CA58"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r>
      <w:tr w:rsidR="00A9405D" w:rsidRPr="00A9405D" w14:paraId="57A7236E" w14:textId="77777777" w:rsidTr="00510C25">
        <w:trPr>
          <w:trHeight w:val="576"/>
        </w:trPr>
        <w:tc>
          <w:tcPr>
            <w:tcW w:w="3470" w:type="dxa"/>
            <w:tcBorders>
              <w:top w:val="single" w:sz="4" w:space="0" w:color="auto"/>
              <w:left w:val="single" w:sz="4" w:space="0" w:color="auto"/>
              <w:bottom w:val="nil"/>
              <w:right w:val="nil"/>
            </w:tcBorders>
            <w:vAlign w:val="bottom"/>
            <w:hideMark/>
          </w:tcPr>
          <w:p w14:paraId="2E45E460" w14:textId="2C16A2C8"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xml:space="preserve">Liczba pz z </w:t>
            </w:r>
            <w:r w:rsidR="007D358E">
              <w:rPr>
                <w:rFonts w:eastAsia="Times New Roman" w:cs="Calibri"/>
                <w:color w:val="000000"/>
                <w:lang w:eastAsia="pl-PL"/>
              </w:rPr>
              <w:t xml:space="preserve">ust. </w:t>
            </w:r>
            <w:r w:rsidRPr="00A9405D">
              <w:rPr>
                <w:rFonts w:eastAsia="Times New Roman" w:cs="Calibri"/>
                <w:color w:val="000000"/>
                <w:lang w:eastAsia="pl-PL"/>
              </w:rPr>
              <w:t xml:space="preserve">3 i </w:t>
            </w:r>
            <w:r w:rsidR="007D358E">
              <w:rPr>
                <w:rFonts w:eastAsia="Times New Roman" w:cs="Calibri"/>
                <w:color w:val="000000"/>
                <w:lang w:eastAsia="pl-PL"/>
              </w:rPr>
              <w:t xml:space="preserve">ust. </w:t>
            </w:r>
            <w:r w:rsidRPr="00A9405D">
              <w:rPr>
                <w:rFonts w:eastAsia="Times New Roman" w:cs="Calibri"/>
                <w:color w:val="000000"/>
                <w:lang w:eastAsia="pl-PL"/>
              </w:rPr>
              <w:t xml:space="preserve">6 (bez </w:t>
            </w:r>
            <w:r w:rsidR="007D358E">
              <w:rPr>
                <w:rFonts w:eastAsia="Times New Roman" w:cs="Calibri"/>
                <w:color w:val="000000"/>
                <w:lang w:eastAsia="pl-PL"/>
              </w:rPr>
              <w:t xml:space="preserve">ust. </w:t>
            </w:r>
            <w:r w:rsidRPr="00A9405D">
              <w:rPr>
                <w:rFonts w:eastAsia="Times New Roman" w:cs="Calibri"/>
                <w:color w:val="000000"/>
                <w:lang w:eastAsia="pl-PL"/>
              </w:rPr>
              <w:t>6</w:t>
            </w:r>
            <w:r w:rsidR="007D358E">
              <w:rPr>
                <w:rFonts w:eastAsia="Times New Roman" w:cs="Calibri"/>
                <w:color w:val="000000"/>
                <w:lang w:eastAsia="pl-PL"/>
              </w:rPr>
              <w:t xml:space="preserve"> pkt </w:t>
            </w:r>
            <w:r w:rsidRPr="00A9405D">
              <w:rPr>
                <w:rFonts w:eastAsia="Times New Roman" w:cs="Calibri"/>
                <w:color w:val="000000"/>
                <w:lang w:eastAsia="pl-PL"/>
              </w:rPr>
              <w:t>8), które przejdą od marszałka do starosty</w:t>
            </w:r>
          </w:p>
        </w:tc>
        <w:tc>
          <w:tcPr>
            <w:tcW w:w="2182" w:type="dxa"/>
            <w:tcBorders>
              <w:top w:val="single" w:sz="4" w:space="0" w:color="auto"/>
              <w:left w:val="nil"/>
              <w:bottom w:val="nil"/>
              <w:right w:val="nil"/>
            </w:tcBorders>
            <w:noWrap/>
            <w:vAlign w:val="bottom"/>
            <w:hideMark/>
          </w:tcPr>
          <w:p w14:paraId="4A56F1C5"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115</w:t>
            </w:r>
          </w:p>
        </w:tc>
        <w:tc>
          <w:tcPr>
            <w:tcW w:w="2108" w:type="dxa"/>
            <w:tcBorders>
              <w:top w:val="single" w:sz="4" w:space="0" w:color="auto"/>
              <w:left w:val="nil"/>
              <w:bottom w:val="nil"/>
              <w:right w:val="nil"/>
            </w:tcBorders>
            <w:noWrap/>
            <w:vAlign w:val="bottom"/>
            <w:hideMark/>
          </w:tcPr>
          <w:p w14:paraId="0485E391" w14:textId="77777777" w:rsidR="00A9405D" w:rsidRPr="00A9405D" w:rsidRDefault="00A9405D" w:rsidP="00A9405D">
            <w:pPr>
              <w:spacing w:line="240" w:lineRule="auto"/>
              <w:jc w:val="right"/>
              <w:rPr>
                <w:rFonts w:eastAsia="Times New Roman" w:cs="Calibri"/>
                <w:color w:val="000000"/>
                <w:lang w:eastAsia="pl-PL"/>
              </w:rPr>
            </w:pPr>
          </w:p>
        </w:tc>
        <w:tc>
          <w:tcPr>
            <w:tcW w:w="1800" w:type="dxa"/>
            <w:tcBorders>
              <w:top w:val="nil"/>
              <w:left w:val="nil"/>
              <w:bottom w:val="nil"/>
              <w:right w:val="single" w:sz="4" w:space="0" w:color="auto"/>
            </w:tcBorders>
            <w:noWrap/>
            <w:vAlign w:val="bottom"/>
            <w:hideMark/>
          </w:tcPr>
          <w:p w14:paraId="1F77F2B7"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r>
      <w:tr w:rsidR="00A9405D" w:rsidRPr="00A9405D" w14:paraId="4FA6F503" w14:textId="77777777" w:rsidTr="00A9405D">
        <w:trPr>
          <w:trHeight w:val="288"/>
        </w:trPr>
        <w:tc>
          <w:tcPr>
            <w:tcW w:w="3470" w:type="dxa"/>
            <w:tcBorders>
              <w:top w:val="nil"/>
              <w:left w:val="single" w:sz="4" w:space="0" w:color="auto"/>
              <w:bottom w:val="nil"/>
              <w:right w:val="nil"/>
            </w:tcBorders>
            <w:noWrap/>
            <w:vAlign w:val="bottom"/>
            <w:hideMark/>
          </w:tcPr>
          <w:p w14:paraId="420721B5"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c>
          <w:tcPr>
            <w:tcW w:w="2182" w:type="dxa"/>
            <w:tcBorders>
              <w:top w:val="nil"/>
              <w:left w:val="nil"/>
              <w:bottom w:val="nil"/>
              <w:right w:val="nil"/>
            </w:tcBorders>
            <w:noWrap/>
            <w:vAlign w:val="bottom"/>
            <w:hideMark/>
          </w:tcPr>
          <w:p w14:paraId="26A4E210" w14:textId="77777777" w:rsidR="00A9405D" w:rsidRPr="00A9405D" w:rsidRDefault="00A9405D" w:rsidP="00A9405D">
            <w:pPr>
              <w:spacing w:line="240" w:lineRule="auto"/>
              <w:rPr>
                <w:rFonts w:eastAsia="Times New Roman" w:cs="Calibri"/>
                <w:color w:val="000000"/>
                <w:lang w:eastAsia="pl-PL"/>
              </w:rPr>
            </w:pPr>
          </w:p>
        </w:tc>
        <w:tc>
          <w:tcPr>
            <w:tcW w:w="2108" w:type="dxa"/>
            <w:tcBorders>
              <w:top w:val="nil"/>
              <w:left w:val="nil"/>
              <w:bottom w:val="nil"/>
              <w:right w:val="nil"/>
            </w:tcBorders>
            <w:noWrap/>
            <w:vAlign w:val="bottom"/>
            <w:hideMark/>
          </w:tcPr>
          <w:p w14:paraId="1E815A54" w14:textId="77777777" w:rsidR="00A9405D" w:rsidRPr="00A9405D" w:rsidRDefault="00A9405D" w:rsidP="00A9405D">
            <w:pPr>
              <w:spacing w:line="240" w:lineRule="auto"/>
              <w:rPr>
                <w:rFonts w:ascii="Times New Roman" w:eastAsia="Times New Roman" w:hAnsi="Times New Roman"/>
                <w:sz w:val="20"/>
                <w:szCs w:val="20"/>
                <w:lang w:eastAsia="pl-PL"/>
              </w:rPr>
            </w:pPr>
          </w:p>
        </w:tc>
        <w:tc>
          <w:tcPr>
            <w:tcW w:w="1800" w:type="dxa"/>
            <w:tcBorders>
              <w:top w:val="nil"/>
              <w:left w:val="nil"/>
              <w:bottom w:val="nil"/>
              <w:right w:val="single" w:sz="4" w:space="0" w:color="auto"/>
            </w:tcBorders>
            <w:noWrap/>
            <w:vAlign w:val="bottom"/>
            <w:hideMark/>
          </w:tcPr>
          <w:p w14:paraId="63730C2D"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r>
      <w:tr w:rsidR="00A9405D" w:rsidRPr="00A9405D" w14:paraId="7B47055B" w14:textId="77777777" w:rsidTr="00510C25">
        <w:trPr>
          <w:trHeight w:val="288"/>
        </w:trPr>
        <w:tc>
          <w:tcPr>
            <w:tcW w:w="3470" w:type="dxa"/>
            <w:tcBorders>
              <w:top w:val="nil"/>
              <w:left w:val="single" w:sz="4" w:space="0" w:color="auto"/>
              <w:bottom w:val="single" w:sz="4" w:space="0" w:color="auto"/>
              <w:right w:val="nil"/>
            </w:tcBorders>
            <w:noWrap/>
            <w:vAlign w:val="bottom"/>
            <w:hideMark/>
          </w:tcPr>
          <w:p w14:paraId="531245B0"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xml:space="preserve">Po zmianach </w:t>
            </w:r>
          </w:p>
        </w:tc>
        <w:tc>
          <w:tcPr>
            <w:tcW w:w="2182" w:type="dxa"/>
            <w:tcBorders>
              <w:top w:val="nil"/>
              <w:left w:val="nil"/>
              <w:bottom w:val="single" w:sz="4" w:space="0" w:color="auto"/>
              <w:right w:val="nil"/>
            </w:tcBorders>
            <w:noWrap/>
            <w:vAlign w:val="bottom"/>
            <w:hideMark/>
          </w:tcPr>
          <w:p w14:paraId="7F08435B" w14:textId="77777777" w:rsidR="00A9405D" w:rsidRPr="00A9405D" w:rsidRDefault="00A9405D" w:rsidP="00A9405D">
            <w:pPr>
              <w:spacing w:line="240" w:lineRule="auto"/>
              <w:rPr>
                <w:rFonts w:eastAsia="Times New Roman" w:cs="Calibri"/>
                <w:color w:val="000000"/>
                <w:lang w:eastAsia="pl-PL"/>
              </w:rPr>
            </w:pPr>
          </w:p>
        </w:tc>
        <w:tc>
          <w:tcPr>
            <w:tcW w:w="2108" w:type="dxa"/>
            <w:tcBorders>
              <w:top w:val="nil"/>
              <w:left w:val="nil"/>
              <w:bottom w:val="single" w:sz="4" w:space="0" w:color="auto"/>
              <w:right w:val="nil"/>
            </w:tcBorders>
            <w:noWrap/>
            <w:vAlign w:val="bottom"/>
            <w:hideMark/>
          </w:tcPr>
          <w:p w14:paraId="7B0CF2C4" w14:textId="77777777" w:rsidR="00A9405D" w:rsidRPr="00A9405D" w:rsidRDefault="00A9405D" w:rsidP="00A9405D">
            <w:pPr>
              <w:spacing w:line="240" w:lineRule="auto"/>
              <w:rPr>
                <w:rFonts w:ascii="Times New Roman" w:eastAsia="Times New Roman" w:hAnsi="Times New Roman"/>
                <w:sz w:val="20"/>
                <w:szCs w:val="20"/>
                <w:lang w:eastAsia="pl-PL"/>
              </w:rPr>
            </w:pPr>
          </w:p>
        </w:tc>
        <w:tc>
          <w:tcPr>
            <w:tcW w:w="1800" w:type="dxa"/>
            <w:tcBorders>
              <w:top w:val="nil"/>
              <w:left w:val="nil"/>
              <w:bottom w:val="single" w:sz="4" w:space="0" w:color="auto"/>
              <w:right w:val="single" w:sz="4" w:space="0" w:color="auto"/>
            </w:tcBorders>
            <w:noWrap/>
            <w:vAlign w:val="bottom"/>
            <w:hideMark/>
          </w:tcPr>
          <w:p w14:paraId="3ACA3B05"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r>
      <w:tr w:rsidR="00A9405D" w:rsidRPr="00A9405D" w14:paraId="35F5E2F3" w14:textId="77777777" w:rsidTr="00510C25">
        <w:trPr>
          <w:trHeight w:val="288"/>
        </w:trPr>
        <w:tc>
          <w:tcPr>
            <w:tcW w:w="3470" w:type="dxa"/>
            <w:tcBorders>
              <w:top w:val="single" w:sz="4" w:space="0" w:color="auto"/>
              <w:left w:val="single" w:sz="4" w:space="0" w:color="auto"/>
              <w:bottom w:val="single" w:sz="4" w:space="0" w:color="auto"/>
              <w:right w:val="nil"/>
            </w:tcBorders>
            <w:noWrap/>
            <w:vAlign w:val="bottom"/>
            <w:hideMark/>
          </w:tcPr>
          <w:p w14:paraId="6EA56C64"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liczba pz wydawanych przez marszałka</w:t>
            </w:r>
          </w:p>
        </w:tc>
        <w:tc>
          <w:tcPr>
            <w:tcW w:w="2182" w:type="dxa"/>
            <w:tcBorders>
              <w:top w:val="single" w:sz="4" w:space="0" w:color="auto"/>
              <w:left w:val="nil"/>
              <w:bottom w:val="single" w:sz="4" w:space="0" w:color="auto"/>
              <w:right w:val="nil"/>
            </w:tcBorders>
            <w:noWrap/>
            <w:vAlign w:val="bottom"/>
            <w:hideMark/>
          </w:tcPr>
          <w:p w14:paraId="5B3C2DBD" w14:textId="77777777" w:rsidR="00A9405D" w:rsidRPr="00A9405D" w:rsidRDefault="00A9405D" w:rsidP="00A9405D">
            <w:pPr>
              <w:spacing w:line="240" w:lineRule="auto"/>
              <w:jc w:val="right"/>
              <w:rPr>
                <w:rFonts w:eastAsia="Times New Roman" w:cs="Calibri"/>
                <w:b/>
                <w:bCs/>
                <w:color w:val="000000"/>
                <w:lang w:eastAsia="pl-PL"/>
              </w:rPr>
            </w:pPr>
            <w:r w:rsidRPr="00A9405D">
              <w:rPr>
                <w:rFonts w:eastAsia="Times New Roman" w:cs="Calibri"/>
                <w:b/>
                <w:bCs/>
                <w:color w:val="000000"/>
                <w:lang w:eastAsia="pl-PL"/>
              </w:rPr>
              <w:t>2929</w:t>
            </w:r>
          </w:p>
        </w:tc>
        <w:tc>
          <w:tcPr>
            <w:tcW w:w="2108" w:type="dxa"/>
            <w:tcBorders>
              <w:top w:val="single" w:sz="4" w:space="0" w:color="auto"/>
              <w:left w:val="nil"/>
              <w:bottom w:val="single" w:sz="4" w:space="0" w:color="auto"/>
              <w:right w:val="nil"/>
            </w:tcBorders>
            <w:noWrap/>
            <w:vAlign w:val="bottom"/>
            <w:hideMark/>
          </w:tcPr>
          <w:p w14:paraId="2EB39DC7"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72,11%</w:t>
            </w:r>
          </w:p>
        </w:tc>
        <w:tc>
          <w:tcPr>
            <w:tcW w:w="1800" w:type="dxa"/>
            <w:tcBorders>
              <w:top w:val="single" w:sz="4" w:space="0" w:color="auto"/>
              <w:left w:val="nil"/>
              <w:bottom w:val="single" w:sz="4" w:space="0" w:color="auto"/>
              <w:right w:val="single" w:sz="4" w:space="0" w:color="auto"/>
            </w:tcBorders>
            <w:noWrap/>
            <w:vAlign w:val="bottom"/>
            <w:hideMark/>
          </w:tcPr>
          <w:p w14:paraId="3BB8A745"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r>
      <w:tr w:rsidR="00A9405D" w:rsidRPr="00A9405D" w14:paraId="54B37BFE" w14:textId="77777777" w:rsidTr="00510C25">
        <w:trPr>
          <w:trHeight w:val="288"/>
        </w:trPr>
        <w:tc>
          <w:tcPr>
            <w:tcW w:w="3470" w:type="dxa"/>
            <w:tcBorders>
              <w:top w:val="single" w:sz="4" w:space="0" w:color="auto"/>
              <w:left w:val="single" w:sz="4" w:space="0" w:color="auto"/>
              <w:bottom w:val="single" w:sz="4" w:space="0" w:color="auto"/>
              <w:right w:val="nil"/>
            </w:tcBorders>
            <w:noWrap/>
            <w:vAlign w:val="bottom"/>
            <w:hideMark/>
          </w:tcPr>
          <w:p w14:paraId="351058CC"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liczba pz wydawanych przez starostę</w:t>
            </w:r>
          </w:p>
        </w:tc>
        <w:tc>
          <w:tcPr>
            <w:tcW w:w="2182" w:type="dxa"/>
            <w:tcBorders>
              <w:top w:val="single" w:sz="4" w:space="0" w:color="auto"/>
              <w:left w:val="nil"/>
              <w:bottom w:val="single" w:sz="4" w:space="0" w:color="auto"/>
              <w:right w:val="nil"/>
            </w:tcBorders>
            <w:noWrap/>
            <w:vAlign w:val="bottom"/>
            <w:hideMark/>
          </w:tcPr>
          <w:p w14:paraId="4F2B5FC0" w14:textId="77777777" w:rsidR="00A9405D" w:rsidRPr="00A9405D" w:rsidRDefault="00A9405D" w:rsidP="00A9405D">
            <w:pPr>
              <w:spacing w:line="240" w:lineRule="auto"/>
              <w:jc w:val="right"/>
              <w:rPr>
                <w:rFonts w:eastAsia="Times New Roman" w:cs="Calibri"/>
                <w:b/>
                <w:bCs/>
                <w:color w:val="000000"/>
                <w:lang w:eastAsia="pl-PL"/>
              </w:rPr>
            </w:pPr>
            <w:r w:rsidRPr="00A9405D">
              <w:rPr>
                <w:rFonts w:eastAsia="Times New Roman" w:cs="Calibri"/>
                <w:b/>
                <w:bCs/>
                <w:color w:val="000000"/>
                <w:lang w:eastAsia="pl-PL"/>
              </w:rPr>
              <w:t>1127</w:t>
            </w:r>
          </w:p>
        </w:tc>
        <w:tc>
          <w:tcPr>
            <w:tcW w:w="2108" w:type="dxa"/>
            <w:tcBorders>
              <w:top w:val="single" w:sz="4" w:space="0" w:color="auto"/>
              <w:left w:val="nil"/>
              <w:bottom w:val="single" w:sz="4" w:space="0" w:color="auto"/>
              <w:right w:val="nil"/>
            </w:tcBorders>
            <w:noWrap/>
            <w:vAlign w:val="bottom"/>
            <w:hideMark/>
          </w:tcPr>
          <w:p w14:paraId="4E053A31" w14:textId="77777777" w:rsidR="00A9405D" w:rsidRPr="00A9405D" w:rsidRDefault="00A9405D" w:rsidP="00A9405D">
            <w:pPr>
              <w:spacing w:line="240" w:lineRule="auto"/>
              <w:jc w:val="right"/>
              <w:rPr>
                <w:rFonts w:eastAsia="Times New Roman" w:cs="Calibri"/>
                <w:color w:val="000000"/>
                <w:lang w:eastAsia="pl-PL"/>
              </w:rPr>
            </w:pPr>
            <w:r w:rsidRPr="00A9405D">
              <w:rPr>
                <w:rFonts w:eastAsia="Times New Roman" w:cs="Calibri"/>
                <w:color w:val="000000"/>
                <w:lang w:eastAsia="pl-PL"/>
              </w:rPr>
              <w:t>27,74%</w:t>
            </w:r>
          </w:p>
        </w:tc>
        <w:tc>
          <w:tcPr>
            <w:tcW w:w="1800" w:type="dxa"/>
            <w:tcBorders>
              <w:top w:val="single" w:sz="4" w:space="0" w:color="auto"/>
              <w:left w:val="nil"/>
              <w:bottom w:val="single" w:sz="4" w:space="0" w:color="auto"/>
              <w:right w:val="single" w:sz="4" w:space="0" w:color="auto"/>
            </w:tcBorders>
            <w:noWrap/>
            <w:vAlign w:val="bottom"/>
            <w:hideMark/>
          </w:tcPr>
          <w:p w14:paraId="399643CA"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r>
      <w:tr w:rsidR="00A9405D" w:rsidRPr="00A9405D" w14:paraId="2CD26392" w14:textId="77777777" w:rsidTr="00A9405D">
        <w:trPr>
          <w:trHeight w:val="288"/>
        </w:trPr>
        <w:tc>
          <w:tcPr>
            <w:tcW w:w="3470" w:type="dxa"/>
            <w:tcBorders>
              <w:top w:val="nil"/>
              <w:left w:val="nil"/>
              <w:bottom w:val="nil"/>
              <w:right w:val="nil"/>
            </w:tcBorders>
            <w:noWrap/>
            <w:vAlign w:val="bottom"/>
            <w:hideMark/>
          </w:tcPr>
          <w:p w14:paraId="04A8906D" w14:textId="77777777" w:rsidR="00A9405D" w:rsidRPr="00A9405D" w:rsidRDefault="00A9405D" w:rsidP="00A9405D">
            <w:pPr>
              <w:spacing w:line="240" w:lineRule="auto"/>
              <w:rPr>
                <w:rFonts w:eastAsia="Times New Roman" w:cs="Calibri"/>
                <w:color w:val="000000"/>
                <w:lang w:eastAsia="pl-PL"/>
              </w:rPr>
            </w:pPr>
          </w:p>
        </w:tc>
        <w:tc>
          <w:tcPr>
            <w:tcW w:w="2182" w:type="dxa"/>
            <w:tcBorders>
              <w:top w:val="nil"/>
              <w:left w:val="nil"/>
              <w:bottom w:val="nil"/>
              <w:right w:val="nil"/>
            </w:tcBorders>
            <w:noWrap/>
            <w:vAlign w:val="bottom"/>
            <w:hideMark/>
          </w:tcPr>
          <w:p w14:paraId="51B94E35" w14:textId="77777777" w:rsidR="00A9405D" w:rsidRPr="00A9405D" w:rsidRDefault="00A9405D" w:rsidP="00A9405D">
            <w:pPr>
              <w:spacing w:line="240" w:lineRule="auto"/>
              <w:rPr>
                <w:rFonts w:ascii="Times New Roman" w:eastAsia="Times New Roman" w:hAnsi="Times New Roman"/>
                <w:sz w:val="20"/>
                <w:szCs w:val="20"/>
                <w:lang w:eastAsia="pl-PL"/>
              </w:rPr>
            </w:pPr>
          </w:p>
        </w:tc>
        <w:tc>
          <w:tcPr>
            <w:tcW w:w="2108" w:type="dxa"/>
            <w:tcBorders>
              <w:top w:val="nil"/>
              <w:left w:val="nil"/>
              <w:bottom w:val="nil"/>
              <w:right w:val="nil"/>
            </w:tcBorders>
            <w:noWrap/>
            <w:vAlign w:val="bottom"/>
            <w:hideMark/>
          </w:tcPr>
          <w:p w14:paraId="4CFA3253" w14:textId="77777777" w:rsidR="00A9405D" w:rsidRPr="00A9405D" w:rsidRDefault="00A9405D" w:rsidP="00A9405D">
            <w:pPr>
              <w:spacing w:line="240" w:lineRule="auto"/>
              <w:rPr>
                <w:rFonts w:ascii="Times New Roman" w:eastAsia="Times New Roman" w:hAnsi="Times New Roman"/>
                <w:sz w:val="20"/>
                <w:szCs w:val="20"/>
                <w:lang w:eastAsia="pl-PL"/>
              </w:rPr>
            </w:pPr>
          </w:p>
        </w:tc>
        <w:tc>
          <w:tcPr>
            <w:tcW w:w="1800" w:type="dxa"/>
            <w:tcBorders>
              <w:top w:val="nil"/>
              <w:left w:val="nil"/>
              <w:bottom w:val="nil"/>
              <w:right w:val="nil"/>
            </w:tcBorders>
            <w:noWrap/>
            <w:vAlign w:val="bottom"/>
            <w:hideMark/>
          </w:tcPr>
          <w:p w14:paraId="356989A6" w14:textId="77777777" w:rsidR="00A9405D" w:rsidRPr="00A9405D" w:rsidRDefault="00A9405D" w:rsidP="00A9405D">
            <w:pPr>
              <w:spacing w:line="240" w:lineRule="auto"/>
              <w:rPr>
                <w:rFonts w:ascii="Times New Roman" w:eastAsia="Times New Roman" w:hAnsi="Times New Roman"/>
                <w:sz w:val="20"/>
                <w:szCs w:val="20"/>
                <w:lang w:eastAsia="pl-PL"/>
              </w:rPr>
            </w:pPr>
          </w:p>
        </w:tc>
      </w:tr>
      <w:tr w:rsidR="00A9405D" w:rsidRPr="00A9405D" w14:paraId="2EC0A8C4" w14:textId="77777777" w:rsidTr="00A9405D">
        <w:trPr>
          <w:trHeight w:val="828"/>
        </w:trPr>
        <w:tc>
          <w:tcPr>
            <w:tcW w:w="3470" w:type="dxa"/>
            <w:tcBorders>
              <w:top w:val="single" w:sz="4" w:space="0" w:color="auto"/>
              <w:left w:val="single" w:sz="4" w:space="0" w:color="auto"/>
              <w:bottom w:val="single" w:sz="4" w:space="0" w:color="auto"/>
              <w:right w:val="single" w:sz="4" w:space="0" w:color="auto"/>
            </w:tcBorders>
            <w:shd w:val="clear" w:color="000000" w:fill="B8CCE4"/>
            <w:vAlign w:val="bottom"/>
            <w:hideMark/>
          </w:tcPr>
          <w:p w14:paraId="1E42AFB5"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Liczba pz do wydania po zmianie kompetencji w podziale na województwa</w:t>
            </w:r>
          </w:p>
        </w:tc>
        <w:tc>
          <w:tcPr>
            <w:tcW w:w="2182" w:type="dxa"/>
            <w:tcBorders>
              <w:top w:val="single" w:sz="4" w:space="0" w:color="auto"/>
              <w:left w:val="nil"/>
              <w:bottom w:val="single" w:sz="4" w:space="0" w:color="auto"/>
              <w:right w:val="single" w:sz="4" w:space="0" w:color="auto"/>
            </w:tcBorders>
            <w:shd w:val="clear" w:color="000000" w:fill="B8CCE4"/>
            <w:vAlign w:val="bottom"/>
            <w:hideMark/>
          </w:tcPr>
          <w:p w14:paraId="7F5B7A28"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pz, które przejdą do starosty</w:t>
            </w:r>
          </w:p>
        </w:tc>
        <w:tc>
          <w:tcPr>
            <w:tcW w:w="2108" w:type="dxa"/>
            <w:tcBorders>
              <w:top w:val="single" w:sz="4" w:space="0" w:color="auto"/>
              <w:left w:val="nil"/>
              <w:bottom w:val="single" w:sz="4" w:space="0" w:color="auto"/>
              <w:right w:val="single" w:sz="4" w:space="0" w:color="auto"/>
            </w:tcBorders>
            <w:shd w:val="clear" w:color="000000" w:fill="B8CCE4"/>
            <w:vAlign w:val="bottom"/>
            <w:hideMark/>
          </w:tcPr>
          <w:p w14:paraId="736A54B4"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pz, które przejdą do marszałka</w:t>
            </w:r>
          </w:p>
        </w:tc>
        <w:tc>
          <w:tcPr>
            <w:tcW w:w="1800" w:type="dxa"/>
            <w:tcBorders>
              <w:top w:val="single" w:sz="4" w:space="0" w:color="auto"/>
              <w:left w:val="nil"/>
              <w:bottom w:val="single" w:sz="4" w:space="0" w:color="auto"/>
              <w:right w:val="single" w:sz="4" w:space="0" w:color="auto"/>
            </w:tcBorders>
            <w:shd w:val="clear" w:color="000000" w:fill="B8CCE4"/>
            <w:vAlign w:val="bottom"/>
            <w:hideMark/>
          </w:tcPr>
          <w:p w14:paraId="5140671D"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o ile marszałek będzie miał więcej decyzji do wydania</w:t>
            </w:r>
          </w:p>
        </w:tc>
      </w:tr>
      <w:tr w:rsidR="00A9405D" w:rsidRPr="00A9405D" w14:paraId="6D37E0A8"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301729E4"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lastRenderedPageBreak/>
              <w:t>dolnośląskie</w:t>
            </w:r>
          </w:p>
        </w:tc>
        <w:tc>
          <w:tcPr>
            <w:tcW w:w="2182" w:type="dxa"/>
            <w:tcBorders>
              <w:top w:val="nil"/>
              <w:left w:val="nil"/>
              <w:bottom w:val="single" w:sz="4" w:space="0" w:color="auto"/>
              <w:right w:val="single" w:sz="4" w:space="0" w:color="auto"/>
            </w:tcBorders>
            <w:noWrap/>
            <w:vAlign w:val="bottom"/>
            <w:hideMark/>
          </w:tcPr>
          <w:p w14:paraId="03AEDCA2"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6</w:t>
            </w:r>
          </w:p>
        </w:tc>
        <w:tc>
          <w:tcPr>
            <w:tcW w:w="2108" w:type="dxa"/>
            <w:tcBorders>
              <w:top w:val="nil"/>
              <w:left w:val="nil"/>
              <w:bottom w:val="single" w:sz="4" w:space="0" w:color="auto"/>
              <w:right w:val="single" w:sz="4" w:space="0" w:color="auto"/>
            </w:tcBorders>
            <w:noWrap/>
            <w:vAlign w:val="bottom"/>
            <w:hideMark/>
          </w:tcPr>
          <w:p w14:paraId="6652ED4B"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11</w:t>
            </w:r>
          </w:p>
        </w:tc>
        <w:tc>
          <w:tcPr>
            <w:tcW w:w="1800" w:type="dxa"/>
            <w:tcBorders>
              <w:top w:val="nil"/>
              <w:left w:val="nil"/>
              <w:bottom w:val="single" w:sz="4" w:space="0" w:color="auto"/>
              <w:right w:val="single" w:sz="4" w:space="0" w:color="auto"/>
            </w:tcBorders>
            <w:noWrap/>
            <w:vAlign w:val="bottom"/>
            <w:hideMark/>
          </w:tcPr>
          <w:p w14:paraId="16664A2A"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5</w:t>
            </w:r>
          </w:p>
        </w:tc>
      </w:tr>
      <w:tr w:rsidR="00A9405D" w:rsidRPr="00A9405D" w14:paraId="39CF2059"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13B27E1A"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kujawsko-pomorskie</w:t>
            </w:r>
          </w:p>
        </w:tc>
        <w:tc>
          <w:tcPr>
            <w:tcW w:w="2182" w:type="dxa"/>
            <w:tcBorders>
              <w:top w:val="nil"/>
              <w:left w:val="nil"/>
              <w:bottom w:val="single" w:sz="4" w:space="0" w:color="auto"/>
              <w:right w:val="single" w:sz="4" w:space="0" w:color="auto"/>
            </w:tcBorders>
            <w:noWrap/>
            <w:vAlign w:val="bottom"/>
            <w:hideMark/>
          </w:tcPr>
          <w:p w14:paraId="419C62AB"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8</w:t>
            </w:r>
          </w:p>
        </w:tc>
        <w:tc>
          <w:tcPr>
            <w:tcW w:w="2108" w:type="dxa"/>
            <w:tcBorders>
              <w:top w:val="nil"/>
              <w:left w:val="nil"/>
              <w:bottom w:val="single" w:sz="4" w:space="0" w:color="auto"/>
              <w:right w:val="single" w:sz="4" w:space="0" w:color="auto"/>
            </w:tcBorders>
            <w:noWrap/>
            <w:vAlign w:val="bottom"/>
            <w:hideMark/>
          </w:tcPr>
          <w:p w14:paraId="27820EF1"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9</w:t>
            </w:r>
          </w:p>
        </w:tc>
        <w:tc>
          <w:tcPr>
            <w:tcW w:w="1800" w:type="dxa"/>
            <w:tcBorders>
              <w:top w:val="nil"/>
              <w:left w:val="nil"/>
              <w:bottom w:val="single" w:sz="4" w:space="0" w:color="auto"/>
              <w:right w:val="single" w:sz="4" w:space="0" w:color="auto"/>
            </w:tcBorders>
            <w:noWrap/>
            <w:vAlign w:val="bottom"/>
            <w:hideMark/>
          </w:tcPr>
          <w:p w14:paraId="4383FEB4"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w:t>
            </w:r>
          </w:p>
        </w:tc>
      </w:tr>
      <w:tr w:rsidR="00A9405D" w:rsidRPr="00A9405D" w14:paraId="77AA78BC"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5A18D1D1"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lubelskie</w:t>
            </w:r>
          </w:p>
        </w:tc>
        <w:tc>
          <w:tcPr>
            <w:tcW w:w="2182" w:type="dxa"/>
            <w:tcBorders>
              <w:top w:val="nil"/>
              <w:left w:val="nil"/>
              <w:bottom w:val="single" w:sz="4" w:space="0" w:color="auto"/>
              <w:right w:val="single" w:sz="4" w:space="0" w:color="auto"/>
            </w:tcBorders>
            <w:noWrap/>
            <w:vAlign w:val="bottom"/>
            <w:hideMark/>
          </w:tcPr>
          <w:p w14:paraId="053636D1"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5</w:t>
            </w:r>
          </w:p>
        </w:tc>
        <w:tc>
          <w:tcPr>
            <w:tcW w:w="2108" w:type="dxa"/>
            <w:tcBorders>
              <w:top w:val="nil"/>
              <w:left w:val="nil"/>
              <w:bottom w:val="single" w:sz="4" w:space="0" w:color="auto"/>
              <w:right w:val="single" w:sz="4" w:space="0" w:color="auto"/>
            </w:tcBorders>
            <w:noWrap/>
            <w:vAlign w:val="bottom"/>
            <w:hideMark/>
          </w:tcPr>
          <w:p w14:paraId="0BE19505"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c>
          <w:tcPr>
            <w:tcW w:w="1800" w:type="dxa"/>
            <w:tcBorders>
              <w:top w:val="nil"/>
              <w:left w:val="nil"/>
              <w:bottom w:val="single" w:sz="4" w:space="0" w:color="auto"/>
              <w:right w:val="single" w:sz="4" w:space="0" w:color="auto"/>
            </w:tcBorders>
            <w:noWrap/>
            <w:vAlign w:val="bottom"/>
            <w:hideMark/>
          </w:tcPr>
          <w:p w14:paraId="681E90EB"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w:t>
            </w:r>
          </w:p>
        </w:tc>
      </w:tr>
      <w:tr w:rsidR="00A9405D" w:rsidRPr="00A9405D" w14:paraId="5BA36C6F"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1E6BDAE"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lubuskie</w:t>
            </w:r>
          </w:p>
        </w:tc>
        <w:tc>
          <w:tcPr>
            <w:tcW w:w="2182" w:type="dxa"/>
            <w:tcBorders>
              <w:top w:val="nil"/>
              <w:left w:val="nil"/>
              <w:bottom w:val="single" w:sz="4" w:space="0" w:color="auto"/>
              <w:right w:val="single" w:sz="4" w:space="0" w:color="auto"/>
            </w:tcBorders>
            <w:noWrap/>
            <w:vAlign w:val="bottom"/>
            <w:hideMark/>
          </w:tcPr>
          <w:p w14:paraId="6C079FF0"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6</w:t>
            </w:r>
          </w:p>
        </w:tc>
        <w:tc>
          <w:tcPr>
            <w:tcW w:w="2108" w:type="dxa"/>
            <w:tcBorders>
              <w:top w:val="nil"/>
              <w:left w:val="nil"/>
              <w:bottom w:val="single" w:sz="4" w:space="0" w:color="auto"/>
              <w:right w:val="single" w:sz="4" w:space="0" w:color="auto"/>
            </w:tcBorders>
            <w:noWrap/>
            <w:vAlign w:val="bottom"/>
            <w:hideMark/>
          </w:tcPr>
          <w:p w14:paraId="7B8FB152"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w:t>
            </w:r>
          </w:p>
        </w:tc>
        <w:tc>
          <w:tcPr>
            <w:tcW w:w="1800" w:type="dxa"/>
            <w:tcBorders>
              <w:top w:val="nil"/>
              <w:left w:val="nil"/>
              <w:bottom w:val="single" w:sz="4" w:space="0" w:color="auto"/>
              <w:right w:val="single" w:sz="4" w:space="0" w:color="auto"/>
            </w:tcBorders>
            <w:noWrap/>
            <w:vAlign w:val="bottom"/>
            <w:hideMark/>
          </w:tcPr>
          <w:p w14:paraId="52928FCC"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r>
      <w:tr w:rsidR="00A9405D" w:rsidRPr="00A9405D" w14:paraId="51665B21"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2783CAAC"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łódzkie</w:t>
            </w:r>
          </w:p>
        </w:tc>
        <w:tc>
          <w:tcPr>
            <w:tcW w:w="2182" w:type="dxa"/>
            <w:tcBorders>
              <w:top w:val="nil"/>
              <w:left w:val="nil"/>
              <w:bottom w:val="single" w:sz="4" w:space="0" w:color="auto"/>
              <w:right w:val="single" w:sz="4" w:space="0" w:color="auto"/>
            </w:tcBorders>
            <w:noWrap/>
            <w:vAlign w:val="bottom"/>
            <w:hideMark/>
          </w:tcPr>
          <w:p w14:paraId="0602F4FD"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c>
          <w:tcPr>
            <w:tcW w:w="2108" w:type="dxa"/>
            <w:tcBorders>
              <w:top w:val="nil"/>
              <w:left w:val="nil"/>
              <w:bottom w:val="single" w:sz="4" w:space="0" w:color="auto"/>
              <w:right w:val="single" w:sz="4" w:space="0" w:color="auto"/>
            </w:tcBorders>
            <w:noWrap/>
            <w:vAlign w:val="bottom"/>
            <w:hideMark/>
          </w:tcPr>
          <w:p w14:paraId="3A7D52D8"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7</w:t>
            </w:r>
          </w:p>
        </w:tc>
        <w:tc>
          <w:tcPr>
            <w:tcW w:w="1800" w:type="dxa"/>
            <w:tcBorders>
              <w:top w:val="nil"/>
              <w:left w:val="nil"/>
              <w:bottom w:val="single" w:sz="4" w:space="0" w:color="auto"/>
              <w:right w:val="single" w:sz="4" w:space="0" w:color="auto"/>
            </w:tcBorders>
            <w:noWrap/>
            <w:vAlign w:val="bottom"/>
            <w:hideMark/>
          </w:tcPr>
          <w:p w14:paraId="74E00680"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3</w:t>
            </w:r>
          </w:p>
        </w:tc>
      </w:tr>
      <w:tr w:rsidR="00A9405D" w:rsidRPr="00A9405D" w14:paraId="386D0938"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5EC2D9ED"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małopolskie</w:t>
            </w:r>
          </w:p>
        </w:tc>
        <w:tc>
          <w:tcPr>
            <w:tcW w:w="2182" w:type="dxa"/>
            <w:tcBorders>
              <w:top w:val="nil"/>
              <w:left w:val="nil"/>
              <w:bottom w:val="single" w:sz="4" w:space="0" w:color="auto"/>
              <w:right w:val="single" w:sz="4" w:space="0" w:color="auto"/>
            </w:tcBorders>
            <w:noWrap/>
            <w:vAlign w:val="bottom"/>
            <w:hideMark/>
          </w:tcPr>
          <w:p w14:paraId="742F4A3D"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20</w:t>
            </w:r>
          </w:p>
        </w:tc>
        <w:tc>
          <w:tcPr>
            <w:tcW w:w="2108" w:type="dxa"/>
            <w:tcBorders>
              <w:top w:val="nil"/>
              <w:left w:val="nil"/>
              <w:bottom w:val="single" w:sz="4" w:space="0" w:color="auto"/>
              <w:right w:val="single" w:sz="4" w:space="0" w:color="auto"/>
            </w:tcBorders>
            <w:noWrap/>
            <w:vAlign w:val="bottom"/>
            <w:hideMark/>
          </w:tcPr>
          <w:p w14:paraId="553FEAA3"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w:t>
            </w:r>
          </w:p>
        </w:tc>
        <w:tc>
          <w:tcPr>
            <w:tcW w:w="1800" w:type="dxa"/>
            <w:tcBorders>
              <w:top w:val="nil"/>
              <w:left w:val="nil"/>
              <w:bottom w:val="single" w:sz="4" w:space="0" w:color="auto"/>
              <w:right w:val="single" w:sz="4" w:space="0" w:color="auto"/>
            </w:tcBorders>
            <w:noWrap/>
            <w:vAlign w:val="bottom"/>
            <w:hideMark/>
          </w:tcPr>
          <w:p w14:paraId="10195F63"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-19</w:t>
            </w:r>
          </w:p>
        </w:tc>
      </w:tr>
      <w:tr w:rsidR="00A9405D" w:rsidRPr="00A9405D" w14:paraId="2C1438A4"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4A078249"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mazowieckie</w:t>
            </w:r>
          </w:p>
        </w:tc>
        <w:tc>
          <w:tcPr>
            <w:tcW w:w="2182" w:type="dxa"/>
            <w:tcBorders>
              <w:top w:val="nil"/>
              <w:left w:val="nil"/>
              <w:bottom w:val="single" w:sz="4" w:space="0" w:color="auto"/>
              <w:right w:val="single" w:sz="4" w:space="0" w:color="auto"/>
            </w:tcBorders>
            <w:noWrap/>
            <w:vAlign w:val="bottom"/>
            <w:hideMark/>
          </w:tcPr>
          <w:p w14:paraId="1D1DF54D"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13</w:t>
            </w:r>
          </w:p>
        </w:tc>
        <w:tc>
          <w:tcPr>
            <w:tcW w:w="2108" w:type="dxa"/>
            <w:tcBorders>
              <w:top w:val="nil"/>
              <w:left w:val="nil"/>
              <w:bottom w:val="single" w:sz="4" w:space="0" w:color="auto"/>
              <w:right w:val="single" w:sz="4" w:space="0" w:color="auto"/>
            </w:tcBorders>
            <w:noWrap/>
            <w:vAlign w:val="bottom"/>
            <w:hideMark/>
          </w:tcPr>
          <w:p w14:paraId="21584917"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17</w:t>
            </w:r>
          </w:p>
        </w:tc>
        <w:tc>
          <w:tcPr>
            <w:tcW w:w="1800" w:type="dxa"/>
            <w:tcBorders>
              <w:top w:val="nil"/>
              <w:left w:val="nil"/>
              <w:bottom w:val="single" w:sz="4" w:space="0" w:color="auto"/>
              <w:right w:val="single" w:sz="4" w:space="0" w:color="auto"/>
            </w:tcBorders>
            <w:noWrap/>
            <w:vAlign w:val="bottom"/>
            <w:hideMark/>
          </w:tcPr>
          <w:p w14:paraId="52F8C116"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r>
      <w:tr w:rsidR="00A9405D" w:rsidRPr="00A9405D" w14:paraId="18A4B4EC"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1ECDC8A4"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opolskie</w:t>
            </w:r>
          </w:p>
        </w:tc>
        <w:tc>
          <w:tcPr>
            <w:tcW w:w="2182" w:type="dxa"/>
            <w:tcBorders>
              <w:top w:val="nil"/>
              <w:left w:val="nil"/>
              <w:bottom w:val="single" w:sz="4" w:space="0" w:color="auto"/>
              <w:right w:val="single" w:sz="4" w:space="0" w:color="auto"/>
            </w:tcBorders>
            <w:noWrap/>
            <w:vAlign w:val="bottom"/>
            <w:hideMark/>
          </w:tcPr>
          <w:p w14:paraId="579705FB"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8</w:t>
            </w:r>
          </w:p>
        </w:tc>
        <w:tc>
          <w:tcPr>
            <w:tcW w:w="2108" w:type="dxa"/>
            <w:tcBorders>
              <w:top w:val="nil"/>
              <w:left w:val="nil"/>
              <w:bottom w:val="single" w:sz="4" w:space="0" w:color="auto"/>
              <w:right w:val="single" w:sz="4" w:space="0" w:color="auto"/>
            </w:tcBorders>
            <w:noWrap/>
            <w:vAlign w:val="bottom"/>
            <w:hideMark/>
          </w:tcPr>
          <w:p w14:paraId="57CD562F"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c>
          <w:tcPr>
            <w:tcW w:w="1800" w:type="dxa"/>
            <w:tcBorders>
              <w:top w:val="nil"/>
              <w:left w:val="nil"/>
              <w:bottom w:val="single" w:sz="4" w:space="0" w:color="auto"/>
              <w:right w:val="single" w:sz="4" w:space="0" w:color="auto"/>
            </w:tcBorders>
            <w:noWrap/>
            <w:vAlign w:val="bottom"/>
            <w:hideMark/>
          </w:tcPr>
          <w:p w14:paraId="7B702768"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r>
      <w:tr w:rsidR="00A9405D" w:rsidRPr="00A9405D" w14:paraId="5B47C166"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01BD8A32"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podkarpackie</w:t>
            </w:r>
          </w:p>
        </w:tc>
        <w:tc>
          <w:tcPr>
            <w:tcW w:w="2182" w:type="dxa"/>
            <w:tcBorders>
              <w:top w:val="nil"/>
              <w:left w:val="nil"/>
              <w:bottom w:val="single" w:sz="4" w:space="0" w:color="auto"/>
              <w:right w:val="single" w:sz="4" w:space="0" w:color="auto"/>
            </w:tcBorders>
            <w:noWrap/>
            <w:vAlign w:val="bottom"/>
            <w:hideMark/>
          </w:tcPr>
          <w:p w14:paraId="5F6B4614"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7</w:t>
            </w:r>
          </w:p>
        </w:tc>
        <w:tc>
          <w:tcPr>
            <w:tcW w:w="2108" w:type="dxa"/>
            <w:tcBorders>
              <w:top w:val="nil"/>
              <w:left w:val="nil"/>
              <w:bottom w:val="single" w:sz="4" w:space="0" w:color="auto"/>
              <w:right w:val="single" w:sz="4" w:space="0" w:color="auto"/>
            </w:tcBorders>
            <w:noWrap/>
            <w:vAlign w:val="bottom"/>
            <w:hideMark/>
          </w:tcPr>
          <w:p w14:paraId="316C43A9"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c>
          <w:tcPr>
            <w:tcW w:w="1800" w:type="dxa"/>
            <w:tcBorders>
              <w:top w:val="nil"/>
              <w:left w:val="nil"/>
              <w:bottom w:val="single" w:sz="4" w:space="0" w:color="auto"/>
              <w:right w:val="single" w:sz="4" w:space="0" w:color="auto"/>
            </w:tcBorders>
            <w:noWrap/>
            <w:vAlign w:val="bottom"/>
            <w:hideMark/>
          </w:tcPr>
          <w:p w14:paraId="216C856F"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-3</w:t>
            </w:r>
          </w:p>
        </w:tc>
      </w:tr>
      <w:tr w:rsidR="00A9405D" w:rsidRPr="00A9405D" w14:paraId="4F54B493"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AD34A3B"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podlaskie</w:t>
            </w:r>
          </w:p>
        </w:tc>
        <w:tc>
          <w:tcPr>
            <w:tcW w:w="2182" w:type="dxa"/>
            <w:tcBorders>
              <w:top w:val="nil"/>
              <w:left w:val="nil"/>
              <w:bottom w:val="single" w:sz="4" w:space="0" w:color="auto"/>
              <w:right w:val="single" w:sz="4" w:space="0" w:color="auto"/>
            </w:tcBorders>
            <w:noWrap/>
            <w:vAlign w:val="bottom"/>
            <w:hideMark/>
          </w:tcPr>
          <w:p w14:paraId="46D3B404"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3</w:t>
            </w:r>
          </w:p>
        </w:tc>
        <w:tc>
          <w:tcPr>
            <w:tcW w:w="2108" w:type="dxa"/>
            <w:tcBorders>
              <w:top w:val="nil"/>
              <w:left w:val="nil"/>
              <w:bottom w:val="single" w:sz="4" w:space="0" w:color="auto"/>
              <w:right w:val="single" w:sz="4" w:space="0" w:color="auto"/>
            </w:tcBorders>
            <w:noWrap/>
            <w:vAlign w:val="bottom"/>
            <w:hideMark/>
          </w:tcPr>
          <w:p w14:paraId="42ADDD96"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5</w:t>
            </w:r>
          </w:p>
        </w:tc>
        <w:tc>
          <w:tcPr>
            <w:tcW w:w="1800" w:type="dxa"/>
            <w:tcBorders>
              <w:top w:val="nil"/>
              <w:left w:val="nil"/>
              <w:bottom w:val="single" w:sz="4" w:space="0" w:color="auto"/>
              <w:right w:val="single" w:sz="4" w:space="0" w:color="auto"/>
            </w:tcBorders>
            <w:noWrap/>
            <w:vAlign w:val="bottom"/>
            <w:hideMark/>
          </w:tcPr>
          <w:p w14:paraId="231A9F0F"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w:t>
            </w:r>
          </w:p>
        </w:tc>
      </w:tr>
      <w:tr w:rsidR="00A9405D" w:rsidRPr="00A9405D" w14:paraId="2F8E22FE"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7FA05918"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pomorskie</w:t>
            </w:r>
          </w:p>
        </w:tc>
        <w:tc>
          <w:tcPr>
            <w:tcW w:w="2182" w:type="dxa"/>
            <w:tcBorders>
              <w:top w:val="nil"/>
              <w:left w:val="nil"/>
              <w:bottom w:val="single" w:sz="4" w:space="0" w:color="auto"/>
              <w:right w:val="single" w:sz="4" w:space="0" w:color="auto"/>
            </w:tcBorders>
            <w:noWrap/>
            <w:vAlign w:val="bottom"/>
            <w:hideMark/>
          </w:tcPr>
          <w:p w14:paraId="4586EAED"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5</w:t>
            </w:r>
          </w:p>
        </w:tc>
        <w:tc>
          <w:tcPr>
            <w:tcW w:w="2108" w:type="dxa"/>
            <w:tcBorders>
              <w:top w:val="nil"/>
              <w:left w:val="nil"/>
              <w:bottom w:val="single" w:sz="4" w:space="0" w:color="auto"/>
              <w:right w:val="single" w:sz="4" w:space="0" w:color="auto"/>
            </w:tcBorders>
            <w:noWrap/>
            <w:vAlign w:val="bottom"/>
            <w:hideMark/>
          </w:tcPr>
          <w:p w14:paraId="63EF4DA7"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3</w:t>
            </w:r>
          </w:p>
        </w:tc>
        <w:tc>
          <w:tcPr>
            <w:tcW w:w="1800" w:type="dxa"/>
            <w:tcBorders>
              <w:top w:val="nil"/>
              <w:left w:val="nil"/>
              <w:bottom w:val="single" w:sz="4" w:space="0" w:color="auto"/>
              <w:right w:val="single" w:sz="4" w:space="0" w:color="auto"/>
            </w:tcBorders>
            <w:noWrap/>
            <w:vAlign w:val="bottom"/>
            <w:hideMark/>
          </w:tcPr>
          <w:p w14:paraId="6E82EB6A"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w:t>
            </w:r>
          </w:p>
        </w:tc>
      </w:tr>
      <w:tr w:rsidR="00A9405D" w:rsidRPr="00A9405D" w14:paraId="4EDE2239"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7AE129E2"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śląskie</w:t>
            </w:r>
          </w:p>
        </w:tc>
        <w:tc>
          <w:tcPr>
            <w:tcW w:w="2182" w:type="dxa"/>
            <w:tcBorders>
              <w:top w:val="nil"/>
              <w:left w:val="nil"/>
              <w:bottom w:val="single" w:sz="4" w:space="0" w:color="auto"/>
              <w:right w:val="single" w:sz="4" w:space="0" w:color="auto"/>
            </w:tcBorders>
            <w:noWrap/>
            <w:vAlign w:val="bottom"/>
            <w:hideMark/>
          </w:tcPr>
          <w:p w14:paraId="2B10CB79"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10</w:t>
            </w:r>
          </w:p>
        </w:tc>
        <w:tc>
          <w:tcPr>
            <w:tcW w:w="2108" w:type="dxa"/>
            <w:tcBorders>
              <w:top w:val="nil"/>
              <w:left w:val="nil"/>
              <w:bottom w:val="single" w:sz="4" w:space="0" w:color="auto"/>
              <w:right w:val="single" w:sz="4" w:space="0" w:color="auto"/>
            </w:tcBorders>
            <w:noWrap/>
            <w:vAlign w:val="bottom"/>
            <w:hideMark/>
          </w:tcPr>
          <w:p w14:paraId="3E5AAAE9"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9</w:t>
            </w:r>
          </w:p>
        </w:tc>
        <w:tc>
          <w:tcPr>
            <w:tcW w:w="1800" w:type="dxa"/>
            <w:tcBorders>
              <w:top w:val="nil"/>
              <w:left w:val="nil"/>
              <w:bottom w:val="single" w:sz="4" w:space="0" w:color="auto"/>
              <w:right w:val="single" w:sz="4" w:space="0" w:color="auto"/>
            </w:tcBorders>
            <w:noWrap/>
            <w:vAlign w:val="bottom"/>
            <w:hideMark/>
          </w:tcPr>
          <w:p w14:paraId="375B9133"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-1</w:t>
            </w:r>
          </w:p>
        </w:tc>
      </w:tr>
      <w:tr w:rsidR="00A9405D" w:rsidRPr="00A9405D" w14:paraId="6011002F"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3AD3D699"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świętokrzyskie</w:t>
            </w:r>
          </w:p>
        </w:tc>
        <w:tc>
          <w:tcPr>
            <w:tcW w:w="2182" w:type="dxa"/>
            <w:tcBorders>
              <w:top w:val="nil"/>
              <w:left w:val="nil"/>
              <w:bottom w:val="single" w:sz="4" w:space="0" w:color="auto"/>
              <w:right w:val="single" w:sz="4" w:space="0" w:color="auto"/>
            </w:tcBorders>
            <w:noWrap/>
            <w:vAlign w:val="bottom"/>
            <w:hideMark/>
          </w:tcPr>
          <w:p w14:paraId="6BDC8904"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9</w:t>
            </w:r>
          </w:p>
        </w:tc>
        <w:tc>
          <w:tcPr>
            <w:tcW w:w="2108" w:type="dxa"/>
            <w:tcBorders>
              <w:top w:val="nil"/>
              <w:left w:val="nil"/>
              <w:bottom w:val="single" w:sz="4" w:space="0" w:color="auto"/>
              <w:right w:val="single" w:sz="4" w:space="0" w:color="auto"/>
            </w:tcBorders>
            <w:noWrap/>
            <w:vAlign w:val="bottom"/>
            <w:hideMark/>
          </w:tcPr>
          <w:p w14:paraId="06814BB4"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9</w:t>
            </w:r>
          </w:p>
        </w:tc>
        <w:tc>
          <w:tcPr>
            <w:tcW w:w="1800" w:type="dxa"/>
            <w:tcBorders>
              <w:top w:val="nil"/>
              <w:left w:val="nil"/>
              <w:bottom w:val="single" w:sz="4" w:space="0" w:color="auto"/>
              <w:right w:val="single" w:sz="4" w:space="0" w:color="auto"/>
            </w:tcBorders>
            <w:noWrap/>
            <w:vAlign w:val="bottom"/>
            <w:hideMark/>
          </w:tcPr>
          <w:p w14:paraId="2941E593"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0</w:t>
            </w:r>
          </w:p>
        </w:tc>
      </w:tr>
      <w:tr w:rsidR="00A9405D" w:rsidRPr="00A9405D" w14:paraId="526E63F3"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0740E55E"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warmińsko-mazurskie</w:t>
            </w:r>
          </w:p>
        </w:tc>
        <w:tc>
          <w:tcPr>
            <w:tcW w:w="2182" w:type="dxa"/>
            <w:tcBorders>
              <w:top w:val="nil"/>
              <w:left w:val="nil"/>
              <w:bottom w:val="single" w:sz="4" w:space="0" w:color="auto"/>
              <w:right w:val="single" w:sz="4" w:space="0" w:color="auto"/>
            </w:tcBorders>
            <w:noWrap/>
            <w:vAlign w:val="bottom"/>
            <w:hideMark/>
          </w:tcPr>
          <w:p w14:paraId="5FABF5E7"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w:t>
            </w:r>
          </w:p>
        </w:tc>
        <w:tc>
          <w:tcPr>
            <w:tcW w:w="2108" w:type="dxa"/>
            <w:tcBorders>
              <w:top w:val="nil"/>
              <w:left w:val="nil"/>
              <w:bottom w:val="single" w:sz="4" w:space="0" w:color="auto"/>
              <w:right w:val="single" w:sz="4" w:space="0" w:color="auto"/>
            </w:tcBorders>
            <w:noWrap/>
            <w:vAlign w:val="bottom"/>
            <w:hideMark/>
          </w:tcPr>
          <w:p w14:paraId="630585F1"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4</w:t>
            </w:r>
          </w:p>
        </w:tc>
        <w:tc>
          <w:tcPr>
            <w:tcW w:w="1800" w:type="dxa"/>
            <w:tcBorders>
              <w:top w:val="nil"/>
              <w:left w:val="nil"/>
              <w:bottom w:val="single" w:sz="4" w:space="0" w:color="auto"/>
              <w:right w:val="single" w:sz="4" w:space="0" w:color="auto"/>
            </w:tcBorders>
            <w:noWrap/>
            <w:vAlign w:val="bottom"/>
            <w:hideMark/>
          </w:tcPr>
          <w:p w14:paraId="65F06563"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w:t>
            </w:r>
          </w:p>
        </w:tc>
      </w:tr>
      <w:tr w:rsidR="00A9405D" w:rsidRPr="00A9405D" w14:paraId="25B43FAE"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FFD4B13"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wielkopolskie</w:t>
            </w:r>
          </w:p>
        </w:tc>
        <w:tc>
          <w:tcPr>
            <w:tcW w:w="2182" w:type="dxa"/>
            <w:tcBorders>
              <w:top w:val="nil"/>
              <w:left w:val="nil"/>
              <w:bottom w:val="single" w:sz="4" w:space="0" w:color="auto"/>
              <w:right w:val="single" w:sz="4" w:space="0" w:color="auto"/>
            </w:tcBorders>
            <w:noWrap/>
            <w:vAlign w:val="bottom"/>
            <w:hideMark/>
          </w:tcPr>
          <w:p w14:paraId="63360406"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6</w:t>
            </w:r>
          </w:p>
        </w:tc>
        <w:tc>
          <w:tcPr>
            <w:tcW w:w="2108" w:type="dxa"/>
            <w:tcBorders>
              <w:top w:val="nil"/>
              <w:left w:val="nil"/>
              <w:bottom w:val="single" w:sz="4" w:space="0" w:color="auto"/>
              <w:right w:val="single" w:sz="4" w:space="0" w:color="auto"/>
            </w:tcBorders>
            <w:noWrap/>
            <w:vAlign w:val="bottom"/>
            <w:hideMark/>
          </w:tcPr>
          <w:p w14:paraId="2A453837"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27</w:t>
            </w:r>
          </w:p>
        </w:tc>
        <w:tc>
          <w:tcPr>
            <w:tcW w:w="1800" w:type="dxa"/>
            <w:tcBorders>
              <w:top w:val="nil"/>
              <w:left w:val="nil"/>
              <w:bottom w:val="single" w:sz="4" w:space="0" w:color="auto"/>
              <w:right w:val="single" w:sz="4" w:space="0" w:color="auto"/>
            </w:tcBorders>
            <w:noWrap/>
            <w:vAlign w:val="bottom"/>
            <w:hideMark/>
          </w:tcPr>
          <w:p w14:paraId="3C8A6E3F"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21</w:t>
            </w:r>
          </w:p>
        </w:tc>
      </w:tr>
      <w:tr w:rsidR="00A9405D" w:rsidRPr="00A9405D" w14:paraId="6798D082"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0EFBB30E"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zachodniopomorskie</w:t>
            </w:r>
          </w:p>
        </w:tc>
        <w:tc>
          <w:tcPr>
            <w:tcW w:w="2182" w:type="dxa"/>
            <w:tcBorders>
              <w:top w:val="nil"/>
              <w:left w:val="nil"/>
              <w:bottom w:val="single" w:sz="4" w:space="0" w:color="auto"/>
              <w:right w:val="single" w:sz="4" w:space="0" w:color="auto"/>
            </w:tcBorders>
            <w:noWrap/>
            <w:vAlign w:val="bottom"/>
            <w:hideMark/>
          </w:tcPr>
          <w:p w14:paraId="6910E671"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3</w:t>
            </w:r>
          </w:p>
        </w:tc>
        <w:tc>
          <w:tcPr>
            <w:tcW w:w="2108" w:type="dxa"/>
            <w:tcBorders>
              <w:top w:val="nil"/>
              <w:left w:val="nil"/>
              <w:bottom w:val="single" w:sz="4" w:space="0" w:color="auto"/>
              <w:right w:val="single" w:sz="4" w:space="0" w:color="auto"/>
            </w:tcBorders>
            <w:noWrap/>
            <w:vAlign w:val="bottom"/>
            <w:hideMark/>
          </w:tcPr>
          <w:p w14:paraId="48656C65"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3</w:t>
            </w:r>
          </w:p>
        </w:tc>
        <w:tc>
          <w:tcPr>
            <w:tcW w:w="1800" w:type="dxa"/>
            <w:tcBorders>
              <w:top w:val="nil"/>
              <w:left w:val="nil"/>
              <w:bottom w:val="single" w:sz="4" w:space="0" w:color="auto"/>
              <w:right w:val="single" w:sz="4" w:space="0" w:color="auto"/>
            </w:tcBorders>
            <w:noWrap/>
            <w:vAlign w:val="bottom"/>
            <w:hideMark/>
          </w:tcPr>
          <w:p w14:paraId="75FC3561" w14:textId="77777777" w:rsidR="00A9405D" w:rsidRPr="00A9405D" w:rsidRDefault="00A9405D" w:rsidP="00A9405D">
            <w:pPr>
              <w:spacing w:line="240" w:lineRule="auto"/>
              <w:jc w:val="center"/>
              <w:rPr>
                <w:rFonts w:eastAsia="Times New Roman" w:cs="Calibri"/>
                <w:color w:val="000000"/>
                <w:lang w:eastAsia="pl-PL"/>
              </w:rPr>
            </w:pPr>
            <w:r w:rsidRPr="00A9405D">
              <w:rPr>
                <w:rFonts w:eastAsia="Times New Roman" w:cs="Calibri"/>
                <w:color w:val="000000"/>
                <w:lang w:eastAsia="pl-PL"/>
              </w:rPr>
              <w:t>0</w:t>
            </w:r>
          </w:p>
        </w:tc>
      </w:tr>
      <w:tr w:rsidR="00A9405D" w:rsidRPr="00A9405D" w14:paraId="09305AF9" w14:textId="77777777" w:rsidTr="00A9405D">
        <w:trPr>
          <w:trHeight w:val="288"/>
        </w:trPr>
        <w:tc>
          <w:tcPr>
            <w:tcW w:w="3470" w:type="dxa"/>
            <w:tcBorders>
              <w:top w:val="nil"/>
              <w:left w:val="single" w:sz="4" w:space="0" w:color="auto"/>
              <w:bottom w:val="single" w:sz="4" w:space="0" w:color="auto"/>
              <w:right w:val="single" w:sz="4" w:space="0" w:color="auto"/>
            </w:tcBorders>
            <w:noWrap/>
            <w:vAlign w:val="bottom"/>
            <w:hideMark/>
          </w:tcPr>
          <w:p w14:paraId="6C83F83F" w14:textId="77777777" w:rsidR="00A9405D" w:rsidRPr="00A9405D" w:rsidRDefault="00A9405D" w:rsidP="00A9405D">
            <w:pPr>
              <w:spacing w:line="240" w:lineRule="auto"/>
              <w:rPr>
                <w:rFonts w:eastAsia="Times New Roman" w:cs="Calibri"/>
                <w:color w:val="000000"/>
                <w:lang w:eastAsia="pl-PL"/>
              </w:rPr>
            </w:pPr>
            <w:r w:rsidRPr="00A9405D">
              <w:rPr>
                <w:rFonts w:eastAsia="Times New Roman" w:cs="Calibri"/>
                <w:color w:val="000000"/>
                <w:lang w:eastAsia="pl-PL"/>
              </w:rPr>
              <w:t> </w:t>
            </w:r>
          </w:p>
        </w:tc>
        <w:tc>
          <w:tcPr>
            <w:tcW w:w="2182" w:type="dxa"/>
            <w:tcBorders>
              <w:top w:val="nil"/>
              <w:left w:val="nil"/>
              <w:bottom w:val="single" w:sz="4" w:space="0" w:color="auto"/>
              <w:right w:val="single" w:sz="4" w:space="0" w:color="auto"/>
            </w:tcBorders>
            <w:noWrap/>
            <w:vAlign w:val="bottom"/>
            <w:hideMark/>
          </w:tcPr>
          <w:p w14:paraId="1DD76DBE" w14:textId="77777777" w:rsidR="00A9405D" w:rsidRPr="00A9405D" w:rsidRDefault="00A9405D" w:rsidP="00A9405D">
            <w:pPr>
              <w:spacing w:line="240" w:lineRule="auto"/>
              <w:jc w:val="center"/>
              <w:rPr>
                <w:rFonts w:eastAsia="Times New Roman" w:cs="Calibri"/>
                <w:b/>
                <w:bCs/>
                <w:color w:val="000000"/>
                <w:lang w:eastAsia="pl-PL"/>
              </w:rPr>
            </w:pPr>
            <w:r w:rsidRPr="00A9405D">
              <w:rPr>
                <w:rFonts w:eastAsia="Times New Roman" w:cs="Calibri"/>
                <w:b/>
                <w:bCs/>
                <w:color w:val="000000"/>
                <w:lang w:eastAsia="pl-PL"/>
              </w:rPr>
              <w:t>115</w:t>
            </w:r>
          </w:p>
        </w:tc>
        <w:tc>
          <w:tcPr>
            <w:tcW w:w="2108" w:type="dxa"/>
            <w:tcBorders>
              <w:top w:val="nil"/>
              <w:left w:val="nil"/>
              <w:bottom w:val="single" w:sz="4" w:space="0" w:color="auto"/>
              <w:right w:val="single" w:sz="4" w:space="0" w:color="auto"/>
            </w:tcBorders>
            <w:noWrap/>
            <w:vAlign w:val="bottom"/>
            <w:hideMark/>
          </w:tcPr>
          <w:p w14:paraId="6C99D861" w14:textId="77777777" w:rsidR="00A9405D" w:rsidRPr="00A9405D" w:rsidRDefault="00A9405D" w:rsidP="00A9405D">
            <w:pPr>
              <w:spacing w:line="240" w:lineRule="auto"/>
              <w:jc w:val="center"/>
              <w:rPr>
                <w:rFonts w:eastAsia="Times New Roman" w:cs="Calibri"/>
                <w:b/>
                <w:bCs/>
                <w:color w:val="000000"/>
                <w:lang w:eastAsia="pl-PL"/>
              </w:rPr>
            </w:pPr>
            <w:r w:rsidRPr="00A9405D">
              <w:rPr>
                <w:rFonts w:eastAsia="Times New Roman" w:cs="Calibri"/>
                <w:b/>
                <w:bCs/>
                <w:color w:val="000000"/>
                <w:lang w:eastAsia="pl-PL"/>
              </w:rPr>
              <w:t>119</w:t>
            </w:r>
          </w:p>
        </w:tc>
        <w:tc>
          <w:tcPr>
            <w:tcW w:w="1800" w:type="dxa"/>
            <w:tcBorders>
              <w:top w:val="nil"/>
              <w:left w:val="nil"/>
              <w:bottom w:val="single" w:sz="4" w:space="0" w:color="auto"/>
              <w:right w:val="single" w:sz="4" w:space="0" w:color="auto"/>
            </w:tcBorders>
            <w:noWrap/>
            <w:vAlign w:val="bottom"/>
            <w:hideMark/>
          </w:tcPr>
          <w:p w14:paraId="650EF094" w14:textId="77777777" w:rsidR="00A9405D" w:rsidRPr="00A9405D" w:rsidRDefault="00A9405D" w:rsidP="00A9405D">
            <w:pPr>
              <w:spacing w:line="240" w:lineRule="auto"/>
              <w:jc w:val="center"/>
              <w:rPr>
                <w:rFonts w:eastAsia="Times New Roman" w:cs="Calibri"/>
                <w:b/>
                <w:bCs/>
                <w:color w:val="FF0000"/>
                <w:lang w:eastAsia="pl-PL"/>
              </w:rPr>
            </w:pPr>
            <w:r w:rsidRPr="00A9405D">
              <w:rPr>
                <w:rFonts w:eastAsia="Times New Roman" w:cs="Calibri"/>
                <w:b/>
                <w:bCs/>
                <w:color w:val="FF0000"/>
                <w:lang w:eastAsia="pl-PL"/>
              </w:rPr>
              <w:t>4</w:t>
            </w:r>
          </w:p>
        </w:tc>
      </w:tr>
    </w:tbl>
    <w:p w14:paraId="327DC94F" w14:textId="77777777" w:rsidR="00A9405D" w:rsidRPr="005C31F5" w:rsidRDefault="00A9405D" w:rsidP="00D81D97">
      <w:pPr>
        <w:rPr>
          <w:rFonts w:ascii="Times New Roman" w:hAnsi="Times New Roman"/>
          <w:lang w:eastAsia="pl-PL"/>
        </w:rPr>
      </w:pPr>
    </w:p>
    <w:p w14:paraId="1F5CC23D" w14:textId="77777777" w:rsidR="005C31F5" w:rsidRPr="009F00FC" w:rsidRDefault="005C31F5" w:rsidP="00D81D97">
      <w:pPr>
        <w:rPr>
          <w:lang w:eastAsia="pl-PL"/>
        </w:rPr>
      </w:pPr>
    </w:p>
    <w:sectPr w:rsidR="005C31F5" w:rsidRPr="009F00FC" w:rsidSect="00A9405D">
      <w:pgSz w:w="11906" w:h="16838"/>
      <w:pgMar w:top="567" w:right="709" w:bottom="567" w:left="72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8C66" w14:textId="77777777" w:rsidR="00664981" w:rsidRDefault="00664981" w:rsidP="00044739">
      <w:pPr>
        <w:spacing w:line="240" w:lineRule="auto"/>
      </w:pPr>
      <w:r>
        <w:separator/>
      </w:r>
    </w:p>
  </w:endnote>
  <w:endnote w:type="continuationSeparator" w:id="0">
    <w:p w14:paraId="03D1360F" w14:textId="77777777" w:rsidR="00664981" w:rsidRDefault="00664981" w:rsidP="00044739">
      <w:pPr>
        <w:spacing w:line="240" w:lineRule="auto"/>
      </w:pPr>
      <w:r>
        <w:continuationSeparator/>
      </w:r>
    </w:p>
  </w:endnote>
  <w:endnote w:type="continuationNotice" w:id="1">
    <w:p w14:paraId="655B2963" w14:textId="77777777" w:rsidR="00664981" w:rsidRDefault="00664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357D" w14:textId="77777777" w:rsidR="00664981" w:rsidRDefault="00664981" w:rsidP="00044739">
      <w:pPr>
        <w:spacing w:line="240" w:lineRule="auto"/>
      </w:pPr>
      <w:r>
        <w:separator/>
      </w:r>
    </w:p>
  </w:footnote>
  <w:footnote w:type="continuationSeparator" w:id="0">
    <w:p w14:paraId="6560FA43" w14:textId="77777777" w:rsidR="00664981" w:rsidRDefault="00664981" w:rsidP="00044739">
      <w:pPr>
        <w:spacing w:line="240" w:lineRule="auto"/>
      </w:pPr>
      <w:r>
        <w:continuationSeparator/>
      </w:r>
    </w:p>
  </w:footnote>
  <w:footnote w:type="continuationNotice" w:id="1">
    <w:p w14:paraId="13990A5B" w14:textId="77777777" w:rsidR="00664981" w:rsidRDefault="0066498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7D8"/>
    <w:multiLevelType w:val="hybridMultilevel"/>
    <w:tmpl w:val="E3C217F4"/>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092CDE"/>
    <w:multiLevelType w:val="hybridMultilevel"/>
    <w:tmpl w:val="D7821BB6"/>
    <w:lvl w:ilvl="0" w:tplc="88A2533E">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93303F"/>
    <w:multiLevelType w:val="hybridMultilevel"/>
    <w:tmpl w:val="449219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5333306"/>
    <w:multiLevelType w:val="hybridMultilevel"/>
    <w:tmpl w:val="736A441E"/>
    <w:lvl w:ilvl="0" w:tplc="1D3AB67E">
      <w:start w:val="1"/>
      <w:numFmt w:val="decimal"/>
      <w:lvlText w:val="%1."/>
      <w:lvlJc w:val="left"/>
      <w:pPr>
        <w:ind w:left="38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16EDD"/>
    <w:multiLevelType w:val="multilevel"/>
    <w:tmpl w:val="373E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D73A5"/>
    <w:multiLevelType w:val="hybridMultilevel"/>
    <w:tmpl w:val="96B4121C"/>
    <w:lvl w:ilvl="0" w:tplc="FFFFFFF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2F55CE"/>
    <w:multiLevelType w:val="hybridMultilevel"/>
    <w:tmpl w:val="20801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461EF2"/>
    <w:multiLevelType w:val="hybridMultilevel"/>
    <w:tmpl w:val="DAE07D42"/>
    <w:lvl w:ilvl="0" w:tplc="FD22B3FC">
      <w:start w:val="7"/>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A41E7"/>
    <w:multiLevelType w:val="hybridMultilevel"/>
    <w:tmpl w:val="1B16A11C"/>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AC7153"/>
    <w:multiLevelType w:val="hybridMultilevel"/>
    <w:tmpl w:val="D438F034"/>
    <w:lvl w:ilvl="0" w:tplc="04150001">
      <w:start w:val="1"/>
      <w:numFmt w:val="bullet"/>
      <w:lvlText w:val=""/>
      <w:lvlJc w:val="left"/>
      <w:pPr>
        <w:ind w:left="384" w:hanging="360"/>
      </w:pPr>
      <w:rPr>
        <w:rFonts w:ascii="Symbol" w:hAnsi="Symbol" w:hint="default"/>
      </w:rPr>
    </w:lvl>
    <w:lvl w:ilvl="1" w:tplc="04150003" w:tentative="1">
      <w:start w:val="1"/>
      <w:numFmt w:val="bullet"/>
      <w:lvlText w:val="o"/>
      <w:lvlJc w:val="left"/>
      <w:pPr>
        <w:ind w:left="1104" w:hanging="360"/>
      </w:pPr>
      <w:rPr>
        <w:rFonts w:ascii="Courier New" w:hAnsi="Courier New" w:cs="Courier New" w:hint="default"/>
      </w:rPr>
    </w:lvl>
    <w:lvl w:ilvl="2" w:tplc="04150005" w:tentative="1">
      <w:start w:val="1"/>
      <w:numFmt w:val="bullet"/>
      <w:lvlText w:val=""/>
      <w:lvlJc w:val="left"/>
      <w:pPr>
        <w:ind w:left="1824" w:hanging="360"/>
      </w:pPr>
      <w:rPr>
        <w:rFonts w:ascii="Wingdings" w:hAnsi="Wingdings" w:hint="default"/>
      </w:rPr>
    </w:lvl>
    <w:lvl w:ilvl="3" w:tplc="04150001" w:tentative="1">
      <w:start w:val="1"/>
      <w:numFmt w:val="bullet"/>
      <w:lvlText w:val=""/>
      <w:lvlJc w:val="left"/>
      <w:pPr>
        <w:ind w:left="2544" w:hanging="360"/>
      </w:pPr>
      <w:rPr>
        <w:rFonts w:ascii="Symbol" w:hAnsi="Symbol" w:hint="default"/>
      </w:rPr>
    </w:lvl>
    <w:lvl w:ilvl="4" w:tplc="04150003" w:tentative="1">
      <w:start w:val="1"/>
      <w:numFmt w:val="bullet"/>
      <w:lvlText w:val="o"/>
      <w:lvlJc w:val="left"/>
      <w:pPr>
        <w:ind w:left="3264" w:hanging="360"/>
      </w:pPr>
      <w:rPr>
        <w:rFonts w:ascii="Courier New" w:hAnsi="Courier New" w:cs="Courier New" w:hint="default"/>
      </w:rPr>
    </w:lvl>
    <w:lvl w:ilvl="5" w:tplc="04150005" w:tentative="1">
      <w:start w:val="1"/>
      <w:numFmt w:val="bullet"/>
      <w:lvlText w:val=""/>
      <w:lvlJc w:val="left"/>
      <w:pPr>
        <w:ind w:left="3984" w:hanging="360"/>
      </w:pPr>
      <w:rPr>
        <w:rFonts w:ascii="Wingdings" w:hAnsi="Wingdings" w:hint="default"/>
      </w:rPr>
    </w:lvl>
    <w:lvl w:ilvl="6" w:tplc="04150001" w:tentative="1">
      <w:start w:val="1"/>
      <w:numFmt w:val="bullet"/>
      <w:lvlText w:val=""/>
      <w:lvlJc w:val="left"/>
      <w:pPr>
        <w:ind w:left="4704" w:hanging="360"/>
      </w:pPr>
      <w:rPr>
        <w:rFonts w:ascii="Symbol" w:hAnsi="Symbol" w:hint="default"/>
      </w:rPr>
    </w:lvl>
    <w:lvl w:ilvl="7" w:tplc="04150003" w:tentative="1">
      <w:start w:val="1"/>
      <w:numFmt w:val="bullet"/>
      <w:lvlText w:val="o"/>
      <w:lvlJc w:val="left"/>
      <w:pPr>
        <w:ind w:left="5424" w:hanging="360"/>
      </w:pPr>
      <w:rPr>
        <w:rFonts w:ascii="Courier New" w:hAnsi="Courier New" w:cs="Courier New" w:hint="default"/>
      </w:rPr>
    </w:lvl>
    <w:lvl w:ilvl="8" w:tplc="04150005" w:tentative="1">
      <w:start w:val="1"/>
      <w:numFmt w:val="bullet"/>
      <w:lvlText w:val=""/>
      <w:lvlJc w:val="left"/>
      <w:pPr>
        <w:ind w:left="6144" w:hanging="360"/>
      </w:pPr>
      <w:rPr>
        <w:rFonts w:ascii="Wingdings" w:hAnsi="Wingdings" w:hint="default"/>
      </w:rPr>
    </w:lvl>
  </w:abstractNum>
  <w:abstractNum w:abstractNumId="10" w15:restartNumberingAfterBreak="0">
    <w:nsid w:val="43F96154"/>
    <w:multiLevelType w:val="multilevel"/>
    <w:tmpl w:val="C8A4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CF1984"/>
    <w:multiLevelType w:val="hybridMultilevel"/>
    <w:tmpl w:val="1A90687C"/>
    <w:lvl w:ilvl="0" w:tplc="DE982F20">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CD7111C"/>
    <w:multiLevelType w:val="multilevel"/>
    <w:tmpl w:val="3AA0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0F629D"/>
    <w:multiLevelType w:val="hybridMultilevel"/>
    <w:tmpl w:val="0EA427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FD0D51"/>
    <w:multiLevelType w:val="hybridMultilevel"/>
    <w:tmpl w:val="FBF0ADAA"/>
    <w:lvl w:ilvl="0" w:tplc="EA822D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86357F"/>
    <w:multiLevelType w:val="hybridMultilevel"/>
    <w:tmpl w:val="2ADC7DF6"/>
    <w:lvl w:ilvl="0" w:tplc="D0D63128">
      <w:start w:val="1"/>
      <w:numFmt w:val="bullet"/>
      <w:pStyle w:val="Punkty"/>
      <w:lvlText w:val=""/>
      <w:lvlJc w:val="left"/>
      <w:pPr>
        <w:ind w:left="652" w:hanging="360"/>
      </w:pPr>
      <w:rPr>
        <w:rFonts w:ascii="Symbol" w:hAnsi="Symbol" w:hint="default"/>
        <w:color w:val="auto"/>
      </w:rPr>
    </w:lvl>
    <w:lvl w:ilvl="1" w:tplc="04150005">
      <w:start w:val="1"/>
      <w:numFmt w:val="bullet"/>
      <w:lvlText w:val=""/>
      <w:lvlJc w:val="left"/>
      <w:pPr>
        <w:ind w:left="1372" w:hanging="360"/>
      </w:pPr>
      <w:rPr>
        <w:rFonts w:ascii="Wingdings" w:hAnsi="Wingdings"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16" w15:restartNumberingAfterBreak="0">
    <w:nsid w:val="60AD13A1"/>
    <w:multiLevelType w:val="multilevel"/>
    <w:tmpl w:val="8768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25E0C"/>
    <w:multiLevelType w:val="hybridMultilevel"/>
    <w:tmpl w:val="FE886B1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0CE126C"/>
    <w:multiLevelType w:val="hybridMultilevel"/>
    <w:tmpl w:val="FC46B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6766D4"/>
    <w:multiLevelType w:val="hybridMultilevel"/>
    <w:tmpl w:val="2D6CDB36"/>
    <w:lvl w:ilvl="0" w:tplc="04150011">
      <w:start w:val="1"/>
      <w:numFmt w:val="decimal"/>
      <w:lvlText w:val="%1)"/>
      <w:lvlJc w:val="left"/>
      <w:pPr>
        <w:ind w:left="384" w:hanging="360"/>
      </w:pPr>
      <w:rPr>
        <w:b w:val="0"/>
        <w:bCs w:val="0"/>
      </w:rPr>
    </w:lvl>
    <w:lvl w:ilvl="1" w:tplc="FFFFFFFF" w:tentative="1">
      <w:start w:val="1"/>
      <w:numFmt w:val="lowerLetter"/>
      <w:lvlText w:val="%2."/>
      <w:lvlJc w:val="left"/>
      <w:pPr>
        <w:ind w:left="1104" w:hanging="360"/>
      </w:pPr>
    </w:lvl>
    <w:lvl w:ilvl="2" w:tplc="FFFFFFFF" w:tentative="1">
      <w:start w:val="1"/>
      <w:numFmt w:val="lowerRoman"/>
      <w:lvlText w:val="%3."/>
      <w:lvlJc w:val="right"/>
      <w:pPr>
        <w:ind w:left="1824" w:hanging="180"/>
      </w:pPr>
    </w:lvl>
    <w:lvl w:ilvl="3" w:tplc="FFFFFFFF" w:tentative="1">
      <w:start w:val="1"/>
      <w:numFmt w:val="decimal"/>
      <w:lvlText w:val="%4."/>
      <w:lvlJc w:val="left"/>
      <w:pPr>
        <w:ind w:left="2544" w:hanging="360"/>
      </w:pPr>
    </w:lvl>
    <w:lvl w:ilvl="4" w:tplc="FFFFFFFF" w:tentative="1">
      <w:start w:val="1"/>
      <w:numFmt w:val="lowerLetter"/>
      <w:lvlText w:val="%5."/>
      <w:lvlJc w:val="left"/>
      <w:pPr>
        <w:ind w:left="3264" w:hanging="360"/>
      </w:pPr>
    </w:lvl>
    <w:lvl w:ilvl="5" w:tplc="FFFFFFFF" w:tentative="1">
      <w:start w:val="1"/>
      <w:numFmt w:val="lowerRoman"/>
      <w:lvlText w:val="%6."/>
      <w:lvlJc w:val="right"/>
      <w:pPr>
        <w:ind w:left="3984" w:hanging="180"/>
      </w:pPr>
    </w:lvl>
    <w:lvl w:ilvl="6" w:tplc="FFFFFFFF" w:tentative="1">
      <w:start w:val="1"/>
      <w:numFmt w:val="decimal"/>
      <w:lvlText w:val="%7."/>
      <w:lvlJc w:val="left"/>
      <w:pPr>
        <w:ind w:left="4704" w:hanging="360"/>
      </w:pPr>
    </w:lvl>
    <w:lvl w:ilvl="7" w:tplc="FFFFFFFF" w:tentative="1">
      <w:start w:val="1"/>
      <w:numFmt w:val="lowerLetter"/>
      <w:lvlText w:val="%8."/>
      <w:lvlJc w:val="left"/>
      <w:pPr>
        <w:ind w:left="5424" w:hanging="360"/>
      </w:pPr>
    </w:lvl>
    <w:lvl w:ilvl="8" w:tplc="FFFFFFFF" w:tentative="1">
      <w:start w:val="1"/>
      <w:numFmt w:val="lowerRoman"/>
      <w:lvlText w:val="%9."/>
      <w:lvlJc w:val="right"/>
      <w:pPr>
        <w:ind w:left="6144" w:hanging="180"/>
      </w:pPr>
    </w:lvl>
  </w:abstractNum>
  <w:abstractNum w:abstractNumId="20" w15:restartNumberingAfterBreak="0">
    <w:nsid w:val="65CB64E7"/>
    <w:multiLevelType w:val="hybridMultilevel"/>
    <w:tmpl w:val="96AA8CEA"/>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 w15:restartNumberingAfterBreak="0">
    <w:nsid w:val="6D897109"/>
    <w:multiLevelType w:val="hybridMultilevel"/>
    <w:tmpl w:val="FE4AE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B04333"/>
    <w:multiLevelType w:val="hybridMultilevel"/>
    <w:tmpl w:val="F9DCF8A6"/>
    <w:lvl w:ilvl="0" w:tplc="83E433E0">
      <w:start w:val="1"/>
      <w:numFmt w:val="decimal"/>
      <w:lvlText w:val="%1."/>
      <w:lvlJc w:val="left"/>
      <w:pPr>
        <w:ind w:left="384" w:hanging="360"/>
      </w:pPr>
      <w:rPr>
        <w:b w:val="0"/>
        <w:bCs w:val="0"/>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23" w15:restartNumberingAfterBreak="0">
    <w:nsid w:val="73317699"/>
    <w:multiLevelType w:val="hybridMultilevel"/>
    <w:tmpl w:val="21504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BD2FBA"/>
    <w:multiLevelType w:val="hybridMultilevel"/>
    <w:tmpl w:val="AB1A92FA"/>
    <w:lvl w:ilvl="0" w:tplc="1D5239A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AE40E4"/>
    <w:multiLevelType w:val="hybridMultilevel"/>
    <w:tmpl w:val="D9BA583C"/>
    <w:lvl w:ilvl="0" w:tplc="5900F126">
      <w:start w:val="16"/>
      <w:numFmt w:val="decimal"/>
      <w:lvlText w:val="%1."/>
      <w:lvlJc w:val="left"/>
      <w:pPr>
        <w:ind w:left="384" w:hanging="360"/>
      </w:pPr>
      <w:rPr>
        <w:rFonts w:hint="default"/>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num w:numId="1" w16cid:durableId="1248342438">
    <w:abstractNumId w:val="8"/>
  </w:num>
  <w:num w:numId="2" w16cid:durableId="491143909">
    <w:abstractNumId w:val="13"/>
  </w:num>
  <w:num w:numId="3" w16cid:durableId="46148797">
    <w:abstractNumId w:val="15"/>
  </w:num>
  <w:num w:numId="4" w16cid:durableId="1084764198">
    <w:abstractNumId w:val="7"/>
  </w:num>
  <w:num w:numId="5" w16cid:durableId="931663347">
    <w:abstractNumId w:val="22"/>
  </w:num>
  <w:num w:numId="6" w16cid:durableId="1377969152">
    <w:abstractNumId w:val="2"/>
  </w:num>
  <w:num w:numId="7" w16cid:durableId="387075780">
    <w:abstractNumId w:val="17"/>
  </w:num>
  <w:num w:numId="8" w16cid:durableId="1717047071">
    <w:abstractNumId w:val="1"/>
  </w:num>
  <w:num w:numId="9" w16cid:durableId="1567763516">
    <w:abstractNumId w:val="9"/>
  </w:num>
  <w:num w:numId="10" w16cid:durableId="1211917519">
    <w:abstractNumId w:val="5"/>
  </w:num>
  <w:num w:numId="11" w16cid:durableId="1843817903">
    <w:abstractNumId w:val="6"/>
  </w:num>
  <w:num w:numId="12" w16cid:durableId="837496961">
    <w:abstractNumId w:val="0"/>
  </w:num>
  <w:num w:numId="13" w16cid:durableId="788087024">
    <w:abstractNumId w:val="25"/>
  </w:num>
  <w:num w:numId="14" w16cid:durableId="237516167">
    <w:abstractNumId w:val="11"/>
  </w:num>
  <w:num w:numId="15" w16cid:durableId="1461261031">
    <w:abstractNumId w:val="21"/>
  </w:num>
  <w:num w:numId="16" w16cid:durableId="681736225">
    <w:abstractNumId w:val="18"/>
  </w:num>
  <w:num w:numId="17" w16cid:durableId="1129861537">
    <w:abstractNumId w:val="20"/>
  </w:num>
  <w:num w:numId="18" w16cid:durableId="1331443441">
    <w:abstractNumId w:val="3"/>
  </w:num>
  <w:num w:numId="19" w16cid:durableId="151216714">
    <w:abstractNumId w:val="14"/>
  </w:num>
  <w:num w:numId="20" w16cid:durableId="366874983">
    <w:abstractNumId w:val="16"/>
  </w:num>
  <w:num w:numId="21" w16cid:durableId="431899292">
    <w:abstractNumId w:val="12"/>
  </w:num>
  <w:num w:numId="22" w16cid:durableId="463696522">
    <w:abstractNumId w:val="23"/>
  </w:num>
  <w:num w:numId="23" w16cid:durableId="972516609">
    <w:abstractNumId w:val="24"/>
  </w:num>
  <w:num w:numId="24" w16cid:durableId="453865541">
    <w:abstractNumId w:val="10"/>
  </w:num>
  <w:num w:numId="25" w16cid:durableId="1690831689">
    <w:abstractNumId w:val="4"/>
  </w:num>
  <w:num w:numId="26" w16cid:durableId="63248958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6AC"/>
    <w:rsid w:val="000006B9"/>
    <w:rsid w:val="000008E5"/>
    <w:rsid w:val="0000149F"/>
    <w:rsid w:val="000015EE"/>
    <w:rsid w:val="0000206A"/>
    <w:rsid w:val="000022D5"/>
    <w:rsid w:val="000025C1"/>
    <w:rsid w:val="00002731"/>
    <w:rsid w:val="00002981"/>
    <w:rsid w:val="00002D01"/>
    <w:rsid w:val="000044A8"/>
    <w:rsid w:val="0000496F"/>
    <w:rsid w:val="000049ED"/>
    <w:rsid w:val="00004A5B"/>
    <w:rsid w:val="00004B45"/>
    <w:rsid w:val="00004C6A"/>
    <w:rsid w:val="00005476"/>
    <w:rsid w:val="0000596E"/>
    <w:rsid w:val="00006964"/>
    <w:rsid w:val="00006C05"/>
    <w:rsid w:val="0000738E"/>
    <w:rsid w:val="00007E43"/>
    <w:rsid w:val="000121CD"/>
    <w:rsid w:val="00012776"/>
    <w:rsid w:val="00012C49"/>
    <w:rsid w:val="00012D11"/>
    <w:rsid w:val="000136D4"/>
    <w:rsid w:val="00013730"/>
    <w:rsid w:val="0001379E"/>
    <w:rsid w:val="00013EB5"/>
    <w:rsid w:val="00014213"/>
    <w:rsid w:val="000148FF"/>
    <w:rsid w:val="00014C83"/>
    <w:rsid w:val="00016455"/>
    <w:rsid w:val="0001760C"/>
    <w:rsid w:val="00020619"/>
    <w:rsid w:val="00020A1B"/>
    <w:rsid w:val="00020EA4"/>
    <w:rsid w:val="00021913"/>
    <w:rsid w:val="00021F37"/>
    <w:rsid w:val="000224EC"/>
    <w:rsid w:val="00022562"/>
    <w:rsid w:val="00023836"/>
    <w:rsid w:val="00023852"/>
    <w:rsid w:val="0002394A"/>
    <w:rsid w:val="00023980"/>
    <w:rsid w:val="00023DD0"/>
    <w:rsid w:val="0002406E"/>
    <w:rsid w:val="000242A7"/>
    <w:rsid w:val="000247D5"/>
    <w:rsid w:val="00025AE6"/>
    <w:rsid w:val="000273B4"/>
    <w:rsid w:val="00027E55"/>
    <w:rsid w:val="00030679"/>
    <w:rsid w:val="000312A1"/>
    <w:rsid w:val="000331A1"/>
    <w:rsid w:val="000337A9"/>
    <w:rsid w:val="00033CA5"/>
    <w:rsid w:val="000344D4"/>
    <w:rsid w:val="000356A9"/>
    <w:rsid w:val="00036534"/>
    <w:rsid w:val="000365BC"/>
    <w:rsid w:val="00037048"/>
    <w:rsid w:val="00037447"/>
    <w:rsid w:val="00040CBB"/>
    <w:rsid w:val="00041289"/>
    <w:rsid w:val="00044138"/>
    <w:rsid w:val="0004448A"/>
    <w:rsid w:val="00044739"/>
    <w:rsid w:val="0004566D"/>
    <w:rsid w:val="000457C2"/>
    <w:rsid w:val="000500C9"/>
    <w:rsid w:val="0005104A"/>
    <w:rsid w:val="00051637"/>
    <w:rsid w:val="000520CB"/>
    <w:rsid w:val="000522D6"/>
    <w:rsid w:val="0005245D"/>
    <w:rsid w:val="0005316C"/>
    <w:rsid w:val="0005325C"/>
    <w:rsid w:val="000548CF"/>
    <w:rsid w:val="00054EA6"/>
    <w:rsid w:val="000553A7"/>
    <w:rsid w:val="00056681"/>
    <w:rsid w:val="0005690E"/>
    <w:rsid w:val="00057270"/>
    <w:rsid w:val="00057E2A"/>
    <w:rsid w:val="00057F5D"/>
    <w:rsid w:val="00060C86"/>
    <w:rsid w:val="00061CFB"/>
    <w:rsid w:val="00062703"/>
    <w:rsid w:val="000648A7"/>
    <w:rsid w:val="00065463"/>
    <w:rsid w:val="00065847"/>
    <w:rsid w:val="00065CD6"/>
    <w:rsid w:val="00065E03"/>
    <w:rsid w:val="0006618B"/>
    <w:rsid w:val="000670C0"/>
    <w:rsid w:val="000671DB"/>
    <w:rsid w:val="00067F13"/>
    <w:rsid w:val="000703DB"/>
    <w:rsid w:val="0007166B"/>
    <w:rsid w:val="00071B99"/>
    <w:rsid w:val="000747F9"/>
    <w:rsid w:val="00075117"/>
    <w:rsid w:val="000756E5"/>
    <w:rsid w:val="0007615D"/>
    <w:rsid w:val="000761D3"/>
    <w:rsid w:val="00076873"/>
    <w:rsid w:val="0007704E"/>
    <w:rsid w:val="00077C49"/>
    <w:rsid w:val="00077ED5"/>
    <w:rsid w:val="00080C66"/>
    <w:rsid w:val="00080EC8"/>
    <w:rsid w:val="00082ABC"/>
    <w:rsid w:val="000832C9"/>
    <w:rsid w:val="0008391A"/>
    <w:rsid w:val="00084C54"/>
    <w:rsid w:val="0008567E"/>
    <w:rsid w:val="00085E48"/>
    <w:rsid w:val="00086D4B"/>
    <w:rsid w:val="000871DF"/>
    <w:rsid w:val="00087882"/>
    <w:rsid w:val="00090CFD"/>
    <w:rsid w:val="000916E9"/>
    <w:rsid w:val="00092900"/>
    <w:rsid w:val="00092DFA"/>
    <w:rsid w:val="00093C13"/>
    <w:rsid w:val="0009408C"/>
    <w:rsid w:val="00094258"/>
    <w:rsid w:val="000944AC"/>
    <w:rsid w:val="00094CB9"/>
    <w:rsid w:val="000956B2"/>
    <w:rsid w:val="0009678A"/>
    <w:rsid w:val="000969E7"/>
    <w:rsid w:val="00097209"/>
    <w:rsid w:val="000979C3"/>
    <w:rsid w:val="000A0177"/>
    <w:rsid w:val="000A19E5"/>
    <w:rsid w:val="000A1C4B"/>
    <w:rsid w:val="000A23DE"/>
    <w:rsid w:val="000A292C"/>
    <w:rsid w:val="000A3A02"/>
    <w:rsid w:val="000A4020"/>
    <w:rsid w:val="000A446A"/>
    <w:rsid w:val="000A7778"/>
    <w:rsid w:val="000A7A5E"/>
    <w:rsid w:val="000A7E6F"/>
    <w:rsid w:val="000B0CED"/>
    <w:rsid w:val="000B1CEB"/>
    <w:rsid w:val="000B2418"/>
    <w:rsid w:val="000B247E"/>
    <w:rsid w:val="000B25EC"/>
    <w:rsid w:val="000B415C"/>
    <w:rsid w:val="000B54FB"/>
    <w:rsid w:val="000B5ECB"/>
    <w:rsid w:val="000B5F94"/>
    <w:rsid w:val="000B641A"/>
    <w:rsid w:val="000B7834"/>
    <w:rsid w:val="000C028F"/>
    <w:rsid w:val="000C03FE"/>
    <w:rsid w:val="000C08B5"/>
    <w:rsid w:val="000C0C45"/>
    <w:rsid w:val="000C1650"/>
    <w:rsid w:val="000C1C73"/>
    <w:rsid w:val="000C1CE8"/>
    <w:rsid w:val="000C29B0"/>
    <w:rsid w:val="000C45AF"/>
    <w:rsid w:val="000C5256"/>
    <w:rsid w:val="000C59DF"/>
    <w:rsid w:val="000C6CAE"/>
    <w:rsid w:val="000C7653"/>
    <w:rsid w:val="000C76FC"/>
    <w:rsid w:val="000C77B1"/>
    <w:rsid w:val="000D1BBE"/>
    <w:rsid w:val="000D1FF9"/>
    <w:rsid w:val="000D2EC4"/>
    <w:rsid w:val="000D35A9"/>
    <w:rsid w:val="000D3602"/>
    <w:rsid w:val="000D3793"/>
    <w:rsid w:val="000D38FC"/>
    <w:rsid w:val="000D3D88"/>
    <w:rsid w:val="000D4D90"/>
    <w:rsid w:val="000D5F47"/>
    <w:rsid w:val="000E01B0"/>
    <w:rsid w:val="000E247B"/>
    <w:rsid w:val="000E2775"/>
    <w:rsid w:val="000E2D10"/>
    <w:rsid w:val="000E3E1D"/>
    <w:rsid w:val="000E4295"/>
    <w:rsid w:val="000E4783"/>
    <w:rsid w:val="000E4EB6"/>
    <w:rsid w:val="000E53A5"/>
    <w:rsid w:val="000E5DD9"/>
    <w:rsid w:val="000E69D4"/>
    <w:rsid w:val="000E71A4"/>
    <w:rsid w:val="000E7A2A"/>
    <w:rsid w:val="000E7BAD"/>
    <w:rsid w:val="000E7F37"/>
    <w:rsid w:val="000E7F58"/>
    <w:rsid w:val="000F031C"/>
    <w:rsid w:val="000F0CAB"/>
    <w:rsid w:val="000F2153"/>
    <w:rsid w:val="000F2AB0"/>
    <w:rsid w:val="000F317D"/>
    <w:rsid w:val="000F3204"/>
    <w:rsid w:val="000F3735"/>
    <w:rsid w:val="000F4A62"/>
    <w:rsid w:val="000F56DA"/>
    <w:rsid w:val="000F626D"/>
    <w:rsid w:val="000F6514"/>
    <w:rsid w:val="000F693A"/>
    <w:rsid w:val="000F6AB5"/>
    <w:rsid w:val="00100788"/>
    <w:rsid w:val="001009F0"/>
    <w:rsid w:val="001029EF"/>
    <w:rsid w:val="00102DCF"/>
    <w:rsid w:val="00102E41"/>
    <w:rsid w:val="001034AE"/>
    <w:rsid w:val="0010548B"/>
    <w:rsid w:val="001057D5"/>
    <w:rsid w:val="00105D7E"/>
    <w:rsid w:val="001072D1"/>
    <w:rsid w:val="00107338"/>
    <w:rsid w:val="00107398"/>
    <w:rsid w:val="00107ED9"/>
    <w:rsid w:val="00110C2B"/>
    <w:rsid w:val="00111EE3"/>
    <w:rsid w:val="00112038"/>
    <w:rsid w:val="00115B60"/>
    <w:rsid w:val="00117017"/>
    <w:rsid w:val="001176C2"/>
    <w:rsid w:val="00117B93"/>
    <w:rsid w:val="001209C7"/>
    <w:rsid w:val="00120B7E"/>
    <w:rsid w:val="00121169"/>
    <w:rsid w:val="0012167A"/>
    <w:rsid w:val="00122113"/>
    <w:rsid w:val="001222FA"/>
    <w:rsid w:val="001240AE"/>
    <w:rsid w:val="00124449"/>
    <w:rsid w:val="00124932"/>
    <w:rsid w:val="00125854"/>
    <w:rsid w:val="00125BAD"/>
    <w:rsid w:val="00126259"/>
    <w:rsid w:val="00126438"/>
    <w:rsid w:val="0012656F"/>
    <w:rsid w:val="001267F7"/>
    <w:rsid w:val="00130E8E"/>
    <w:rsid w:val="0013113E"/>
    <w:rsid w:val="00131AEB"/>
    <w:rsid w:val="00131FEA"/>
    <w:rsid w:val="0013216E"/>
    <w:rsid w:val="001334B6"/>
    <w:rsid w:val="00133E66"/>
    <w:rsid w:val="001347DC"/>
    <w:rsid w:val="00134B47"/>
    <w:rsid w:val="00135502"/>
    <w:rsid w:val="00135F41"/>
    <w:rsid w:val="00136D3B"/>
    <w:rsid w:val="00137318"/>
    <w:rsid w:val="00137CB7"/>
    <w:rsid w:val="001401B5"/>
    <w:rsid w:val="00140A47"/>
    <w:rsid w:val="00140B5C"/>
    <w:rsid w:val="00140D3F"/>
    <w:rsid w:val="00141A26"/>
    <w:rsid w:val="00141F61"/>
    <w:rsid w:val="001422B9"/>
    <w:rsid w:val="00143851"/>
    <w:rsid w:val="00143B33"/>
    <w:rsid w:val="001441B0"/>
    <w:rsid w:val="00144849"/>
    <w:rsid w:val="00144A9B"/>
    <w:rsid w:val="001451D5"/>
    <w:rsid w:val="00145D57"/>
    <w:rsid w:val="00145EF2"/>
    <w:rsid w:val="00145F5E"/>
    <w:rsid w:val="0014665F"/>
    <w:rsid w:val="001475E0"/>
    <w:rsid w:val="00147941"/>
    <w:rsid w:val="001513D4"/>
    <w:rsid w:val="0015339F"/>
    <w:rsid w:val="00153464"/>
    <w:rsid w:val="00153FC8"/>
    <w:rsid w:val="001541B3"/>
    <w:rsid w:val="001541EE"/>
    <w:rsid w:val="00154EC6"/>
    <w:rsid w:val="001558DB"/>
    <w:rsid w:val="00155A32"/>
    <w:rsid w:val="00155B15"/>
    <w:rsid w:val="00155FD6"/>
    <w:rsid w:val="00157445"/>
    <w:rsid w:val="00161029"/>
    <w:rsid w:val="001622AC"/>
    <w:rsid w:val="001625BE"/>
    <w:rsid w:val="001627B7"/>
    <w:rsid w:val="001630A9"/>
    <w:rsid w:val="00163B0F"/>
    <w:rsid w:val="00164039"/>
    <w:rsid w:val="001643A4"/>
    <w:rsid w:val="001647C1"/>
    <w:rsid w:val="00164BA3"/>
    <w:rsid w:val="00165AAB"/>
    <w:rsid w:val="00166724"/>
    <w:rsid w:val="001701B0"/>
    <w:rsid w:val="00170DD8"/>
    <w:rsid w:val="001727BB"/>
    <w:rsid w:val="00172982"/>
    <w:rsid w:val="00172A5D"/>
    <w:rsid w:val="00172DE2"/>
    <w:rsid w:val="001741BD"/>
    <w:rsid w:val="00174AFC"/>
    <w:rsid w:val="00176324"/>
    <w:rsid w:val="001768E2"/>
    <w:rsid w:val="0017697C"/>
    <w:rsid w:val="00176E65"/>
    <w:rsid w:val="0017774F"/>
    <w:rsid w:val="001777C9"/>
    <w:rsid w:val="00177E54"/>
    <w:rsid w:val="00180D25"/>
    <w:rsid w:val="001816B3"/>
    <w:rsid w:val="00182243"/>
    <w:rsid w:val="001828CE"/>
    <w:rsid w:val="00182D66"/>
    <w:rsid w:val="0018318D"/>
    <w:rsid w:val="00183A12"/>
    <w:rsid w:val="00183CA7"/>
    <w:rsid w:val="00184D8D"/>
    <w:rsid w:val="0018572C"/>
    <w:rsid w:val="00186F1A"/>
    <w:rsid w:val="0018747C"/>
    <w:rsid w:val="00187D6E"/>
    <w:rsid w:val="00187E79"/>
    <w:rsid w:val="00187F0D"/>
    <w:rsid w:val="00187F67"/>
    <w:rsid w:val="00190365"/>
    <w:rsid w:val="00190EA3"/>
    <w:rsid w:val="001910E0"/>
    <w:rsid w:val="0019141C"/>
    <w:rsid w:val="00192009"/>
    <w:rsid w:val="00192452"/>
    <w:rsid w:val="00192C5F"/>
    <w:rsid w:val="00192CC5"/>
    <w:rsid w:val="001936BC"/>
    <w:rsid w:val="001944AB"/>
    <w:rsid w:val="00194770"/>
    <w:rsid w:val="001956A7"/>
    <w:rsid w:val="00195EA6"/>
    <w:rsid w:val="00197173"/>
    <w:rsid w:val="0019767E"/>
    <w:rsid w:val="001A02CC"/>
    <w:rsid w:val="001A03E4"/>
    <w:rsid w:val="001A0722"/>
    <w:rsid w:val="001A118A"/>
    <w:rsid w:val="001A14D1"/>
    <w:rsid w:val="001A2128"/>
    <w:rsid w:val="001A27F4"/>
    <w:rsid w:val="001A2D95"/>
    <w:rsid w:val="001A3D6D"/>
    <w:rsid w:val="001A4D5E"/>
    <w:rsid w:val="001A57D9"/>
    <w:rsid w:val="001A6C3D"/>
    <w:rsid w:val="001A7774"/>
    <w:rsid w:val="001B114F"/>
    <w:rsid w:val="001B1325"/>
    <w:rsid w:val="001B16C4"/>
    <w:rsid w:val="001B1C21"/>
    <w:rsid w:val="001B2173"/>
    <w:rsid w:val="001B2AE6"/>
    <w:rsid w:val="001B3460"/>
    <w:rsid w:val="001B4078"/>
    <w:rsid w:val="001B44CC"/>
    <w:rsid w:val="001B4CA1"/>
    <w:rsid w:val="001B579B"/>
    <w:rsid w:val="001B6121"/>
    <w:rsid w:val="001B6978"/>
    <w:rsid w:val="001B7426"/>
    <w:rsid w:val="001B75D8"/>
    <w:rsid w:val="001C0148"/>
    <w:rsid w:val="001C0864"/>
    <w:rsid w:val="001C0912"/>
    <w:rsid w:val="001C0D0D"/>
    <w:rsid w:val="001C1060"/>
    <w:rsid w:val="001C1641"/>
    <w:rsid w:val="001C1964"/>
    <w:rsid w:val="001C3442"/>
    <w:rsid w:val="001C3685"/>
    <w:rsid w:val="001C3C63"/>
    <w:rsid w:val="001C57D3"/>
    <w:rsid w:val="001C59B4"/>
    <w:rsid w:val="001C721F"/>
    <w:rsid w:val="001C7CD9"/>
    <w:rsid w:val="001C7E47"/>
    <w:rsid w:val="001D09DC"/>
    <w:rsid w:val="001D1ACE"/>
    <w:rsid w:val="001D2AAC"/>
    <w:rsid w:val="001D2CF8"/>
    <w:rsid w:val="001D3B6C"/>
    <w:rsid w:val="001D3ECB"/>
    <w:rsid w:val="001D4732"/>
    <w:rsid w:val="001D4D02"/>
    <w:rsid w:val="001D61F3"/>
    <w:rsid w:val="001D62C2"/>
    <w:rsid w:val="001D6A3C"/>
    <w:rsid w:val="001D6D51"/>
    <w:rsid w:val="001D7AE8"/>
    <w:rsid w:val="001E2110"/>
    <w:rsid w:val="001E342F"/>
    <w:rsid w:val="001E3EBF"/>
    <w:rsid w:val="001E44AF"/>
    <w:rsid w:val="001E5FBE"/>
    <w:rsid w:val="001E6769"/>
    <w:rsid w:val="001F02F8"/>
    <w:rsid w:val="001F161D"/>
    <w:rsid w:val="001F20C7"/>
    <w:rsid w:val="001F22EA"/>
    <w:rsid w:val="001F3AE6"/>
    <w:rsid w:val="001F42CA"/>
    <w:rsid w:val="001F52F2"/>
    <w:rsid w:val="001F5578"/>
    <w:rsid w:val="001F5B30"/>
    <w:rsid w:val="001F636B"/>
    <w:rsid w:val="001F6393"/>
    <w:rsid w:val="001F653A"/>
    <w:rsid w:val="001F6979"/>
    <w:rsid w:val="001F743C"/>
    <w:rsid w:val="001F7932"/>
    <w:rsid w:val="00200A58"/>
    <w:rsid w:val="00202152"/>
    <w:rsid w:val="002024C3"/>
    <w:rsid w:val="00202BC6"/>
    <w:rsid w:val="002032CF"/>
    <w:rsid w:val="00203824"/>
    <w:rsid w:val="00204F1F"/>
    <w:rsid w:val="00205141"/>
    <w:rsid w:val="0020516B"/>
    <w:rsid w:val="0020619D"/>
    <w:rsid w:val="002105F3"/>
    <w:rsid w:val="00210D36"/>
    <w:rsid w:val="00212174"/>
    <w:rsid w:val="00212CF0"/>
    <w:rsid w:val="00213559"/>
    <w:rsid w:val="00213B02"/>
    <w:rsid w:val="00213D25"/>
    <w:rsid w:val="00213E53"/>
    <w:rsid w:val="00213EFD"/>
    <w:rsid w:val="00215FDC"/>
    <w:rsid w:val="00216FE3"/>
    <w:rsid w:val="00217159"/>
    <w:rsid w:val="002172F1"/>
    <w:rsid w:val="00217669"/>
    <w:rsid w:val="002214E0"/>
    <w:rsid w:val="00222399"/>
    <w:rsid w:val="0022295C"/>
    <w:rsid w:val="00223773"/>
    <w:rsid w:val="002239FF"/>
    <w:rsid w:val="00223C7B"/>
    <w:rsid w:val="00224219"/>
    <w:rsid w:val="00224AB1"/>
    <w:rsid w:val="0022600D"/>
    <w:rsid w:val="0022687A"/>
    <w:rsid w:val="00226F3D"/>
    <w:rsid w:val="00227018"/>
    <w:rsid w:val="002271DB"/>
    <w:rsid w:val="00227ADB"/>
    <w:rsid w:val="00230728"/>
    <w:rsid w:val="00230A64"/>
    <w:rsid w:val="002315E5"/>
    <w:rsid w:val="00232D84"/>
    <w:rsid w:val="00233236"/>
    <w:rsid w:val="00233C2C"/>
    <w:rsid w:val="00234040"/>
    <w:rsid w:val="00235CD2"/>
    <w:rsid w:val="00235E4E"/>
    <w:rsid w:val="002374E4"/>
    <w:rsid w:val="00237587"/>
    <w:rsid w:val="00237CAB"/>
    <w:rsid w:val="0024024F"/>
    <w:rsid w:val="00240634"/>
    <w:rsid w:val="00240A1D"/>
    <w:rsid w:val="0024340D"/>
    <w:rsid w:val="00243435"/>
    <w:rsid w:val="00243FF3"/>
    <w:rsid w:val="002458F3"/>
    <w:rsid w:val="00250628"/>
    <w:rsid w:val="0025142C"/>
    <w:rsid w:val="00251DAC"/>
    <w:rsid w:val="00251DB8"/>
    <w:rsid w:val="002535CE"/>
    <w:rsid w:val="00254DED"/>
    <w:rsid w:val="00254F36"/>
    <w:rsid w:val="00255619"/>
    <w:rsid w:val="0025570D"/>
    <w:rsid w:val="00255DAD"/>
    <w:rsid w:val="00256108"/>
    <w:rsid w:val="0026060E"/>
    <w:rsid w:val="00260F33"/>
    <w:rsid w:val="002613BD"/>
    <w:rsid w:val="0026182F"/>
    <w:rsid w:val="002624F1"/>
    <w:rsid w:val="00263E92"/>
    <w:rsid w:val="0026659F"/>
    <w:rsid w:val="002675AC"/>
    <w:rsid w:val="00267BC8"/>
    <w:rsid w:val="00270AAC"/>
    <w:rsid w:val="00270C81"/>
    <w:rsid w:val="0027110E"/>
    <w:rsid w:val="002713B1"/>
    <w:rsid w:val="00271558"/>
    <w:rsid w:val="00271739"/>
    <w:rsid w:val="00273914"/>
    <w:rsid w:val="0027478D"/>
    <w:rsid w:val="00274862"/>
    <w:rsid w:val="00274C3C"/>
    <w:rsid w:val="00274FF9"/>
    <w:rsid w:val="00275096"/>
    <w:rsid w:val="002753D4"/>
    <w:rsid w:val="002753E2"/>
    <w:rsid w:val="0027592C"/>
    <w:rsid w:val="0027725C"/>
    <w:rsid w:val="002806F2"/>
    <w:rsid w:val="002814EA"/>
    <w:rsid w:val="00282D72"/>
    <w:rsid w:val="00283402"/>
    <w:rsid w:val="00283933"/>
    <w:rsid w:val="00283DD4"/>
    <w:rsid w:val="002843DE"/>
    <w:rsid w:val="002844ED"/>
    <w:rsid w:val="002847A0"/>
    <w:rsid w:val="00284FFD"/>
    <w:rsid w:val="0028581D"/>
    <w:rsid w:val="00286667"/>
    <w:rsid w:val="0028688A"/>
    <w:rsid w:val="002868EB"/>
    <w:rsid w:val="002878B1"/>
    <w:rsid w:val="00287930"/>
    <w:rsid w:val="00290743"/>
    <w:rsid w:val="00290935"/>
    <w:rsid w:val="00290FD6"/>
    <w:rsid w:val="00291E7D"/>
    <w:rsid w:val="00293103"/>
    <w:rsid w:val="0029341D"/>
    <w:rsid w:val="00293793"/>
    <w:rsid w:val="00293D42"/>
    <w:rsid w:val="00294259"/>
    <w:rsid w:val="00294BB0"/>
    <w:rsid w:val="002950C7"/>
    <w:rsid w:val="002A06FF"/>
    <w:rsid w:val="002A098E"/>
    <w:rsid w:val="002A0DF7"/>
    <w:rsid w:val="002A2C81"/>
    <w:rsid w:val="002A328C"/>
    <w:rsid w:val="002A4E46"/>
    <w:rsid w:val="002A513E"/>
    <w:rsid w:val="002A59E0"/>
    <w:rsid w:val="002A6278"/>
    <w:rsid w:val="002A7400"/>
    <w:rsid w:val="002A7853"/>
    <w:rsid w:val="002B0529"/>
    <w:rsid w:val="002B0A62"/>
    <w:rsid w:val="002B13D9"/>
    <w:rsid w:val="002B14BE"/>
    <w:rsid w:val="002B202A"/>
    <w:rsid w:val="002B30A1"/>
    <w:rsid w:val="002B3D1A"/>
    <w:rsid w:val="002B3EE9"/>
    <w:rsid w:val="002B3FA0"/>
    <w:rsid w:val="002B4FE5"/>
    <w:rsid w:val="002B6EC2"/>
    <w:rsid w:val="002C27D0"/>
    <w:rsid w:val="002C2C9B"/>
    <w:rsid w:val="002C4E7D"/>
    <w:rsid w:val="002C556B"/>
    <w:rsid w:val="002C59A9"/>
    <w:rsid w:val="002C6060"/>
    <w:rsid w:val="002C660C"/>
    <w:rsid w:val="002C6FD6"/>
    <w:rsid w:val="002C7AD8"/>
    <w:rsid w:val="002D048F"/>
    <w:rsid w:val="002D09FD"/>
    <w:rsid w:val="002D0BC3"/>
    <w:rsid w:val="002D177B"/>
    <w:rsid w:val="002D17D6"/>
    <w:rsid w:val="002D18D7"/>
    <w:rsid w:val="002D21CE"/>
    <w:rsid w:val="002D2A8F"/>
    <w:rsid w:val="002D2B42"/>
    <w:rsid w:val="002D3F73"/>
    <w:rsid w:val="002D417E"/>
    <w:rsid w:val="002D42F6"/>
    <w:rsid w:val="002D4A72"/>
    <w:rsid w:val="002D5491"/>
    <w:rsid w:val="002D657E"/>
    <w:rsid w:val="002D69E4"/>
    <w:rsid w:val="002D6F2A"/>
    <w:rsid w:val="002D7208"/>
    <w:rsid w:val="002E0E4A"/>
    <w:rsid w:val="002E1CFA"/>
    <w:rsid w:val="002E2244"/>
    <w:rsid w:val="002E28A7"/>
    <w:rsid w:val="002E342B"/>
    <w:rsid w:val="002E3DA3"/>
    <w:rsid w:val="002E450F"/>
    <w:rsid w:val="002E47EB"/>
    <w:rsid w:val="002E591D"/>
    <w:rsid w:val="002E5F40"/>
    <w:rsid w:val="002E64B1"/>
    <w:rsid w:val="002E6B38"/>
    <w:rsid w:val="002E6D63"/>
    <w:rsid w:val="002E6E2B"/>
    <w:rsid w:val="002F0232"/>
    <w:rsid w:val="002F2D49"/>
    <w:rsid w:val="002F4033"/>
    <w:rsid w:val="002F4644"/>
    <w:rsid w:val="002F500B"/>
    <w:rsid w:val="002F6A0A"/>
    <w:rsid w:val="002F71A7"/>
    <w:rsid w:val="002F7B34"/>
    <w:rsid w:val="003002CC"/>
    <w:rsid w:val="00300991"/>
    <w:rsid w:val="00300C2A"/>
    <w:rsid w:val="00301207"/>
    <w:rsid w:val="0030189F"/>
    <w:rsid w:val="00301959"/>
    <w:rsid w:val="003020D3"/>
    <w:rsid w:val="00302CE0"/>
    <w:rsid w:val="00303A4D"/>
    <w:rsid w:val="00305B8A"/>
    <w:rsid w:val="0030656E"/>
    <w:rsid w:val="00307772"/>
    <w:rsid w:val="00310B9E"/>
    <w:rsid w:val="00310BC4"/>
    <w:rsid w:val="003119D9"/>
    <w:rsid w:val="00312D65"/>
    <w:rsid w:val="00312DD8"/>
    <w:rsid w:val="00313598"/>
    <w:rsid w:val="003143BF"/>
    <w:rsid w:val="00314F80"/>
    <w:rsid w:val="00315A66"/>
    <w:rsid w:val="003165A8"/>
    <w:rsid w:val="00316B88"/>
    <w:rsid w:val="00317053"/>
    <w:rsid w:val="00317145"/>
    <w:rsid w:val="003171F4"/>
    <w:rsid w:val="0031778F"/>
    <w:rsid w:val="003208C6"/>
    <w:rsid w:val="0032091A"/>
    <w:rsid w:val="003215B0"/>
    <w:rsid w:val="00321894"/>
    <w:rsid w:val="0032300F"/>
    <w:rsid w:val="00323983"/>
    <w:rsid w:val="00324792"/>
    <w:rsid w:val="00324975"/>
    <w:rsid w:val="00325728"/>
    <w:rsid w:val="0032579D"/>
    <w:rsid w:val="00325850"/>
    <w:rsid w:val="00326AE4"/>
    <w:rsid w:val="00326ED6"/>
    <w:rsid w:val="00331BF9"/>
    <w:rsid w:val="0033355A"/>
    <w:rsid w:val="00333A4B"/>
    <w:rsid w:val="00333E9F"/>
    <w:rsid w:val="003340A4"/>
    <w:rsid w:val="0033495E"/>
    <w:rsid w:val="00334A79"/>
    <w:rsid w:val="00334BA8"/>
    <w:rsid w:val="00334C58"/>
    <w:rsid w:val="00334C70"/>
    <w:rsid w:val="00334D8D"/>
    <w:rsid w:val="00334E84"/>
    <w:rsid w:val="003351CC"/>
    <w:rsid w:val="00337345"/>
    <w:rsid w:val="0033752A"/>
    <w:rsid w:val="00337A19"/>
    <w:rsid w:val="00337A1D"/>
    <w:rsid w:val="00337DD2"/>
    <w:rsid w:val="00337E1D"/>
    <w:rsid w:val="003404D1"/>
    <w:rsid w:val="003407B1"/>
    <w:rsid w:val="0034095C"/>
    <w:rsid w:val="00341BD3"/>
    <w:rsid w:val="00341F60"/>
    <w:rsid w:val="00342484"/>
    <w:rsid w:val="00342B2F"/>
    <w:rsid w:val="00343CE2"/>
    <w:rsid w:val="003443FF"/>
    <w:rsid w:val="003463F6"/>
    <w:rsid w:val="00347408"/>
    <w:rsid w:val="00347B5C"/>
    <w:rsid w:val="00347C05"/>
    <w:rsid w:val="00347F7A"/>
    <w:rsid w:val="00351A73"/>
    <w:rsid w:val="00351C5F"/>
    <w:rsid w:val="00351CAC"/>
    <w:rsid w:val="00352F32"/>
    <w:rsid w:val="00353822"/>
    <w:rsid w:val="00353E4E"/>
    <w:rsid w:val="00354AF5"/>
    <w:rsid w:val="003550EF"/>
    <w:rsid w:val="0035548A"/>
    <w:rsid w:val="00355808"/>
    <w:rsid w:val="00355F18"/>
    <w:rsid w:val="00356064"/>
    <w:rsid w:val="00356A15"/>
    <w:rsid w:val="00356D7C"/>
    <w:rsid w:val="00357714"/>
    <w:rsid w:val="00360612"/>
    <w:rsid w:val="0036249A"/>
    <w:rsid w:val="00362C7E"/>
    <w:rsid w:val="00362D98"/>
    <w:rsid w:val="00363309"/>
    <w:rsid w:val="00363601"/>
    <w:rsid w:val="003639A7"/>
    <w:rsid w:val="00364542"/>
    <w:rsid w:val="00364610"/>
    <w:rsid w:val="00364BE4"/>
    <w:rsid w:val="00364D85"/>
    <w:rsid w:val="003660BD"/>
    <w:rsid w:val="0036756A"/>
    <w:rsid w:val="00367A1C"/>
    <w:rsid w:val="00370397"/>
    <w:rsid w:val="003703A9"/>
    <w:rsid w:val="00370661"/>
    <w:rsid w:val="00370B8F"/>
    <w:rsid w:val="00371A71"/>
    <w:rsid w:val="003731B2"/>
    <w:rsid w:val="00374178"/>
    <w:rsid w:val="00374B58"/>
    <w:rsid w:val="00375703"/>
    <w:rsid w:val="0037594A"/>
    <w:rsid w:val="00376AC9"/>
    <w:rsid w:val="0037743C"/>
    <w:rsid w:val="00380D2B"/>
    <w:rsid w:val="00381AF3"/>
    <w:rsid w:val="00381CC1"/>
    <w:rsid w:val="003823DB"/>
    <w:rsid w:val="00382B2A"/>
    <w:rsid w:val="00382C83"/>
    <w:rsid w:val="00383B42"/>
    <w:rsid w:val="00384B81"/>
    <w:rsid w:val="00385418"/>
    <w:rsid w:val="00386988"/>
    <w:rsid w:val="0039057B"/>
    <w:rsid w:val="0039104D"/>
    <w:rsid w:val="00391066"/>
    <w:rsid w:val="00391BD8"/>
    <w:rsid w:val="00392FDB"/>
    <w:rsid w:val="00393032"/>
    <w:rsid w:val="003932C7"/>
    <w:rsid w:val="00394304"/>
    <w:rsid w:val="0039490F"/>
    <w:rsid w:val="00394B69"/>
    <w:rsid w:val="00395368"/>
    <w:rsid w:val="003968C1"/>
    <w:rsid w:val="00396C16"/>
    <w:rsid w:val="00397078"/>
    <w:rsid w:val="003A04CC"/>
    <w:rsid w:val="003A05B0"/>
    <w:rsid w:val="003A06CA"/>
    <w:rsid w:val="003A0D2B"/>
    <w:rsid w:val="003A120D"/>
    <w:rsid w:val="003A1628"/>
    <w:rsid w:val="003A1C08"/>
    <w:rsid w:val="003A236C"/>
    <w:rsid w:val="003A320A"/>
    <w:rsid w:val="003A4030"/>
    <w:rsid w:val="003A6750"/>
    <w:rsid w:val="003A6953"/>
    <w:rsid w:val="003A7129"/>
    <w:rsid w:val="003A7722"/>
    <w:rsid w:val="003A7EB0"/>
    <w:rsid w:val="003B02AE"/>
    <w:rsid w:val="003B03A3"/>
    <w:rsid w:val="003B0BA9"/>
    <w:rsid w:val="003B0E27"/>
    <w:rsid w:val="003B2433"/>
    <w:rsid w:val="003B43DB"/>
    <w:rsid w:val="003B5C24"/>
    <w:rsid w:val="003B6083"/>
    <w:rsid w:val="003B6397"/>
    <w:rsid w:val="003B7415"/>
    <w:rsid w:val="003B788A"/>
    <w:rsid w:val="003C0FA6"/>
    <w:rsid w:val="003C1BA1"/>
    <w:rsid w:val="003C234B"/>
    <w:rsid w:val="003C27ED"/>
    <w:rsid w:val="003C3838"/>
    <w:rsid w:val="003C478B"/>
    <w:rsid w:val="003C4980"/>
    <w:rsid w:val="003C4B57"/>
    <w:rsid w:val="003C5847"/>
    <w:rsid w:val="003C5BB7"/>
    <w:rsid w:val="003C5F94"/>
    <w:rsid w:val="003C63AD"/>
    <w:rsid w:val="003C647E"/>
    <w:rsid w:val="003C74A1"/>
    <w:rsid w:val="003C767F"/>
    <w:rsid w:val="003D0681"/>
    <w:rsid w:val="003D07FE"/>
    <w:rsid w:val="003D12F6"/>
    <w:rsid w:val="003D1426"/>
    <w:rsid w:val="003D16F3"/>
    <w:rsid w:val="003D1BD9"/>
    <w:rsid w:val="003D23BA"/>
    <w:rsid w:val="003D251E"/>
    <w:rsid w:val="003D4AC2"/>
    <w:rsid w:val="003D508B"/>
    <w:rsid w:val="003D539F"/>
    <w:rsid w:val="003D66BD"/>
    <w:rsid w:val="003D76C2"/>
    <w:rsid w:val="003D7A3C"/>
    <w:rsid w:val="003D7C2B"/>
    <w:rsid w:val="003D7D23"/>
    <w:rsid w:val="003E211A"/>
    <w:rsid w:val="003E2832"/>
    <w:rsid w:val="003E2F4E"/>
    <w:rsid w:val="003E3AF7"/>
    <w:rsid w:val="003E3F98"/>
    <w:rsid w:val="003E465C"/>
    <w:rsid w:val="003E49EE"/>
    <w:rsid w:val="003E4A21"/>
    <w:rsid w:val="003E720A"/>
    <w:rsid w:val="003E730E"/>
    <w:rsid w:val="003E7E0B"/>
    <w:rsid w:val="003F0267"/>
    <w:rsid w:val="003F086B"/>
    <w:rsid w:val="003F08C2"/>
    <w:rsid w:val="003F138B"/>
    <w:rsid w:val="003F1EB8"/>
    <w:rsid w:val="003F2AFC"/>
    <w:rsid w:val="003F452B"/>
    <w:rsid w:val="003F48A1"/>
    <w:rsid w:val="003F5745"/>
    <w:rsid w:val="003F57C5"/>
    <w:rsid w:val="003F5C1A"/>
    <w:rsid w:val="003F6397"/>
    <w:rsid w:val="003F73C8"/>
    <w:rsid w:val="003F7520"/>
    <w:rsid w:val="003F7B92"/>
    <w:rsid w:val="003F7BA5"/>
    <w:rsid w:val="00401091"/>
    <w:rsid w:val="00401195"/>
    <w:rsid w:val="00401379"/>
    <w:rsid w:val="004013EA"/>
    <w:rsid w:val="00401DE2"/>
    <w:rsid w:val="00402F3B"/>
    <w:rsid w:val="0040327C"/>
    <w:rsid w:val="004038F3"/>
    <w:rsid w:val="00403A22"/>
    <w:rsid w:val="00403C2C"/>
    <w:rsid w:val="00403E6E"/>
    <w:rsid w:val="00405B80"/>
    <w:rsid w:val="00406597"/>
    <w:rsid w:val="00407ACE"/>
    <w:rsid w:val="00407E4B"/>
    <w:rsid w:val="00407FE2"/>
    <w:rsid w:val="00410261"/>
    <w:rsid w:val="00410BE8"/>
    <w:rsid w:val="0041117D"/>
    <w:rsid w:val="00411E38"/>
    <w:rsid w:val="004129B4"/>
    <w:rsid w:val="00413153"/>
    <w:rsid w:val="0041396E"/>
    <w:rsid w:val="0041435A"/>
    <w:rsid w:val="004146E6"/>
    <w:rsid w:val="00414E3E"/>
    <w:rsid w:val="00416ABB"/>
    <w:rsid w:val="00417187"/>
    <w:rsid w:val="004171CC"/>
    <w:rsid w:val="00417EF0"/>
    <w:rsid w:val="00422181"/>
    <w:rsid w:val="0042317D"/>
    <w:rsid w:val="004231F0"/>
    <w:rsid w:val="004244A8"/>
    <w:rsid w:val="00424888"/>
    <w:rsid w:val="00424FAF"/>
    <w:rsid w:val="00425BEA"/>
    <w:rsid w:val="00425F72"/>
    <w:rsid w:val="00427736"/>
    <w:rsid w:val="00427C03"/>
    <w:rsid w:val="00430146"/>
    <w:rsid w:val="004307D0"/>
    <w:rsid w:val="0043091F"/>
    <w:rsid w:val="0043193B"/>
    <w:rsid w:val="00431A2F"/>
    <w:rsid w:val="00433114"/>
    <w:rsid w:val="004355E0"/>
    <w:rsid w:val="00437C56"/>
    <w:rsid w:val="00437FB5"/>
    <w:rsid w:val="004407A1"/>
    <w:rsid w:val="00440ABA"/>
    <w:rsid w:val="00441787"/>
    <w:rsid w:val="004417FA"/>
    <w:rsid w:val="00442BCC"/>
    <w:rsid w:val="00443119"/>
    <w:rsid w:val="004431FB"/>
    <w:rsid w:val="00443477"/>
    <w:rsid w:val="00443A6F"/>
    <w:rsid w:val="0044434B"/>
    <w:rsid w:val="00444E02"/>
    <w:rsid w:val="00444F2D"/>
    <w:rsid w:val="00445007"/>
    <w:rsid w:val="00445441"/>
    <w:rsid w:val="00445687"/>
    <w:rsid w:val="00446C14"/>
    <w:rsid w:val="00447363"/>
    <w:rsid w:val="0044764F"/>
    <w:rsid w:val="00447EA7"/>
    <w:rsid w:val="004511D2"/>
    <w:rsid w:val="004519E5"/>
    <w:rsid w:val="00452034"/>
    <w:rsid w:val="00453321"/>
    <w:rsid w:val="00453B0D"/>
    <w:rsid w:val="004554B3"/>
    <w:rsid w:val="00455FA6"/>
    <w:rsid w:val="0045657E"/>
    <w:rsid w:val="00456F2D"/>
    <w:rsid w:val="004571EC"/>
    <w:rsid w:val="00457D4F"/>
    <w:rsid w:val="00461571"/>
    <w:rsid w:val="00462001"/>
    <w:rsid w:val="004636D2"/>
    <w:rsid w:val="0046498D"/>
    <w:rsid w:val="00465F98"/>
    <w:rsid w:val="00466C70"/>
    <w:rsid w:val="00467AEE"/>
    <w:rsid w:val="004702C9"/>
    <w:rsid w:val="00470604"/>
    <w:rsid w:val="00471D17"/>
    <w:rsid w:val="0047283D"/>
    <w:rsid w:val="00472885"/>
    <w:rsid w:val="00472E45"/>
    <w:rsid w:val="004733B3"/>
    <w:rsid w:val="00473BBC"/>
    <w:rsid w:val="00473FEA"/>
    <w:rsid w:val="00474DD0"/>
    <w:rsid w:val="0047579D"/>
    <w:rsid w:val="00475B5C"/>
    <w:rsid w:val="00475B75"/>
    <w:rsid w:val="00476E2D"/>
    <w:rsid w:val="00480519"/>
    <w:rsid w:val="00481784"/>
    <w:rsid w:val="00481B37"/>
    <w:rsid w:val="004831B2"/>
    <w:rsid w:val="00483262"/>
    <w:rsid w:val="00484107"/>
    <w:rsid w:val="00484364"/>
    <w:rsid w:val="00485959"/>
    <w:rsid w:val="00485CC5"/>
    <w:rsid w:val="004867D6"/>
    <w:rsid w:val="00486DBE"/>
    <w:rsid w:val="0048707F"/>
    <w:rsid w:val="0048721E"/>
    <w:rsid w:val="00487573"/>
    <w:rsid w:val="0049017D"/>
    <w:rsid w:val="00490890"/>
    <w:rsid w:val="0049165F"/>
    <w:rsid w:val="00492789"/>
    <w:rsid w:val="004929A9"/>
    <w:rsid w:val="004933FE"/>
    <w:rsid w:val="0049343F"/>
    <w:rsid w:val="00494C85"/>
    <w:rsid w:val="004957A2"/>
    <w:rsid w:val="00495CB9"/>
    <w:rsid w:val="004964FC"/>
    <w:rsid w:val="00496D27"/>
    <w:rsid w:val="00496E5E"/>
    <w:rsid w:val="004A0AC5"/>
    <w:rsid w:val="004A145E"/>
    <w:rsid w:val="004A1A7A"/>
    <w:rsid w:val="004A1F15"/>
    <w:rsid w:val="004A2A81"/>
    <w:rsid w:val="004A351B"/>
    <w:rsid w:val="004A4957"/>
    <w:rsid w:val="004A4F5C"/>
    <w:rsid w:val="004A524F"/>
    <w:rsid w:val="004A6237"/>
    <w:rsid w:val="004A74A9"/>
    <w:rsid w:val="004A78F4"/>
    <w:rsid w:val="004A7BD7"/>
    <w:rsid w:val="004B0E7A"/>
    <w:rsid w:val="004B24AD"/>
    <w:rsid w:val="004B2CD1"/>
    <w:rsid w:val="004B36CC"/>
    <w:rsid w:val="004B3FCB"/>
    <w:rsid w:val="004B4238"/>
    <w:rsid w:val="004B4D63"/>
    <w:rsid w:val="004B580F"/>
    <w:rsid w:val="004B6674"/>
    <w:rsid w:val="004B670D"/>
    <w:rsid w:val="004B6A22"/>
    <w:rsid w:val="004B6D89"/>
    <w:rsid w:val="004B7035"/>
    <w:rsid w:val="004B726A"/>
    <w:rsid w:val="004B72D8"/>
    <w:rsid w:val="004C15C2"/>
    <w:rsid w:val="004C215C"/>
    <w:rsid w:val="004C3158"/>
    <w:rsid w:val="004C36D8"/>
    <w:rsid w:val="004C389D"/>
    <w:rsid w:val="004C3A73"/>
    <w:rsid w:val="004C3EFF"/>
    <w:rsid w:val="004C3F65"/>
    <w:rsid w:val="004C479F"/>
    <w:rsid w:val="004C4968"/>
    <w:rsid w:val="004C4E55"/>
    <w:rsid w:val="004C5BC7"/>
    <w:rsid w:val="004C5E66"/>
    <w:rsid w:val="004C6A0C"/>
    <w:rsid w:val="004C6EC6"/>
    <w:rsid w:val="004C73BB"/>
    <w:rsid w:val="004C78B3"/>
    <w:rsid w:val="004C7F8D"/>
    <w:rsid w:val="004D0416"/>
    <w:rsid w:val="004D0C79"/>
    <w:rsid w:val="004D1248"/>
    <w:rsid w:val="004D18B2"/>
    <w:rsid w:val="004D1E3C"/>
    <w:rsid w:val="004D4169"/>
    <w:rsid w:val="004D4B6F"/>
    <w:rsid w:val="004D5275"/>
    <w:rsid w:val="004D52AA"/>
    <w:rsid w:val="004D6BE5"/>
    <w:rsid w:val="004D6E14"/>
    <w:rsid w:val="004D7073"/>
    <w:rsid w:val="004D75A3"/>
    <w:rsid w:val="004D7E46"/>
    <w:rsid w:val="004D7F8E"/>
    <w:rsid w:val="004E0F99"/>
    <w:rsid w:val="004E19E2"/>
    <w:rsid w:val="004E22A2"/>
    <w:rsid w:val="004E2C33"/>
    <w:rsid w:val="004E3E9A"/>
    <w:rsid w:val="004E4325"/>
    <w:rsid w:val="004E49DA"/>
    <w:rsid w:val="004E4EE0"/>
    <w:rsid w:val="004E5014"/>
    <w:rsid w:val="004E681A"/>
    <w:rsid w:val="004E796F"/>
    <w:rsid w:val="004E7D26"/>
    <w:rsid w:val="004F0116"/>
    <w:rsid w:val="004F0A5F"/>
    <w:rsid w:val="004F0B60"/>
    <w:rsid w:val="004F0D13"/>
    <w:rsid w:val="004F11E7"/>
    <w:rsid w:val="004F1781"/>
    <w:rsid w:val="004F1844"/>
    <w:rsid w:val="004F224C"/>
    <w:rsid w:val="004F2C23"/>
    <w:rsid w:val="004F41B7"/>
    <w:rsid w:val="004F4E17"/>
    <w:rsid w:val="004F5266"/>
    <w:rsid w:val="004F528A"/>
    <w:rsid w:val="004F55E6"/>
    <w:rsid w:val="004F58C5"/>
    <w:rsid w:val="004F635D"/>
    <w:rsid w:val="004F694B"/>
    <w:rsid w:val="004F69D2"/>
    <w:rsid w:val="004F6E5B"/>
    <w:rsid w:val="004F7A2D"/>
    <w:rsid w:val="004F7ABB"/>
    <w:rsid w:val="0050005C"/>
    <w:rsid w:val="0050082F"/>
    <w:rsid w:val="00500C56"/>
    <w:rsid w:val="00500F7A"/>
    <w:rsid w:val="00501713"/>
    <w:rsid w:val="00501C32"/>
    <w:rsid w:val="005022F3"/>
    <w:rsid w:val="005025F2"/>
    <w:rsid w:val="005042F6"/>
    <w:rsid w:val="00506568"/>
    <w:rsid w:val="005073F3"/>
    <w:rsid w:val="00510C02"/>
    <w:rsid w:val="00510C25"/>
    <w:rsid w:val="005115D8"/>
    <w:rsid w:val="00511EB9"/>
    <w:rsid w:val="0051243C"/>
    <w:rsid w:val="00514272"/>
    <w:rsid w:val="00514653"/>
    <w:rsid w:val="00515165"/>
    <w:rsid w:val="0051551B"/>
    <w:rsid w:val="00515676"/>
    <w:rsid w:val="0051572E"/>
    <w:rsid w:val="005158C7"/>
    <w:rsid w:val="0051624F"/>
    <w:rsid w:val="00516586"/>
    <w:rsid w:val="00516A70"/>
    <w:rsid w:val="00517895"/>
    <w:rsid w:val="00520C57"/>
    <w:rsid w:val="00521230"/>
    <w:rsid w:val="00522D94"/>
    <w:rsid w:val="00523E49"/>
    <w:rsid w:val="0052448B"/>
    <w:rsid w:val="005250BE"/>
    <w:rsid w:val="00525380"/>
    <w:rsid w:val="005257A5"/>
    <w:rsid w:val="00525AB9"/>
    <w:rsid w:val="0052638B"/>
    <w:rsid w:val="00527086"/>
    <w:rsid w:val="005270B4"/>
    <w:rsid w:val="00527983"/>
    <w:rsid w:val="00530029"/>
    <w:rsid w:val="00530D38"/>
    <w:rsid w:val="00530D56"/>
    <w:rsid w:val="005310C1"/>
    <w:rsid w:val="005322BF"/>
    <w:rsid w:val="0053241F"/>
    <w:rsid w:val="00532539"/>
    <w:rsid w:val="005332B3"/>
    <w:rsid w:val="00533938"/>
    <w:rsid w:val="00533D89"/>
    <w:rsid w:val="00534106"/>
    <w:rsid w:val="005343D8"/>
    <w:rsid w:val="00534677"/>
    <w:rsid w:val="005346DF"/>
    <w:rsid w:val="00534761"/>
    <w:rsid w:val="005349B1"/>
    <w:rsid w:val="0053577B"/>
    <w:rsid w:val="00535D7F"/>
    <w:rsid w:val="00536564"/>
    <w:rsid w:val="00537028"/>
    <w:rsid w:val="005374EA"/>
    <w:rsid w:val="005377EF"/>
    <w:rsid w:val="00537CC2"/>
    <w:rsid w:val="00540440"/>
    <w:rsid w:val="0054059E"/>
    <w:rsid w:val="00543154"/>
    <w:rsid w:val="005434CA"/>
    <w:rsid w:val="00544597"/>
    <w:rsid w:val="00544876"/>
    <w:rsid w:val="00544FFE"/>
    <w:rsid w:val="005473F5"/>
    <w:rsid w:val="005477E7"/>
    <w:rsid w:val="00550184"/>
    <w:rsid w:val="00551C37"/>
    <w:rsid w:val="00552755"/>
    <w:rsid w:val="00552794"/>
    <w:rsid w:val="005545FA"/>
    <w:rsid w:val="00555388"/>
    <w:rsid w:val="00555877"/>
    <w:rsid w:val="00555C78"/>
    <w:rsid w:val="00556F1F"/>
    <w:rsid w:val="00557E1B"/>
    <w:rsid w:val="00560063"/>
    <w:rsid w:val="00560848"/>
    <w:rsid w:val="00562153"/>
    <w:rsid w:val="0056268F"/>
    <w:rsid w:val="0056270E"/>
    <w:rsid w:val="00562E8B"/>
    <w:rsid w:val="00563199"/>
    <w:rsid w:val="00563605"/>
    <w:rsid w:val="005636BE"/>
    <w:rsid w:val="00564874"/>
    <w:rsid w:val="00564D8B"/>
    <w:rsid w:val="005650EF"/>
    <w:rsid w:val="0056544F"/>
    <w:rsid w:val="005654B5"/>
    <w:rsid w:val="00565DC7"/>
    <w:rsid w:val="0056656F"/>
    <w:rsid w:val="00566A6B"/>
    <w:rsid w:val="00566B77"/>
    <w:rsid w:val="00566D51"/>
    <w:rsid w:val="00567963"/>
    <w:rsid w:val="00567F79"/>
    <w:rsid w:val="0057009A"/>
    <w:rsid w:val="00570B95"/>
    <w:rsid w:val="00570FE5"/>
    <w:rsid w:val="00571260"/>
    <w:rsid w:val="00571681"/>
    <w:rsid w:val="0057189C"/>
    <w:rsid w:val="005721C8"/>
    <w:rsid w:val="00572AA4"/>
    <w:rsid w:val="005736BF"/>
    <w:rsid w:val="00573FC1"/>
    <w:rsid w:val="005741EE"/>
    <w:rsid w:val="00575444"/>
    <w:rsid w:val="00575493"/>
    <w:rsid w:val="00575792"/>
    <w:rsid w:val="005763E4"/>
    <w:rsid w:val="0057668E"/>
    <w:rsid w:val="005767B7"/>
    <w:rsid w:val="005771A3"/>
    <w:rsid w:val="005775AD"/>
    <w:rsid w:val="00580027"/>
    <w:rsid w:val="005807D4"/>
    <w:rsid w:val="0058138C"/>
    <w:rsid w:val="00581CF2"/>
    <w:rsid w:val="00582BBE"/>
    <w:rsid w:val="00582F06"/>
    <w:rsid w:val="00583823"/>
    <w:rsid w:val="005853DF"/>
    <w:rsid w:val="00586834"/>
    <w:rsid w:val="00586851"/>
    <w:rsid w:val="0059038C"/>
    <w:rsid w:val="00590A23"/>
    <w:rsid w:val="005924C1"/>
    <w:rsid w:val="005937DC"/>
    <w:rsid w:val="00594736"/>
    <w:rsid w:val="00594919"/>
    <w:rsid w:val="00594CAD"/>
    <w:rsid w:val="00595D3C"/>
    <w:rsid w:val="00595E83"/>
    <w:rsid w:val="00595F9B"/>
    <w:rsid w:val="0059608E"/>
    <w:rsid w:val="00596530"/>
    <w:rsid w:val="005967F3"/>
    <w:rsid w:val="00596F0E"/>
    <w:rsid w:val="005970C6"/>
    <w:rsid w:val="005A06DF"/>
    <w:rsid w:val="005A0D7A"/>
    <w:rsid w:val="005A118F"/>
    <w:rsid w:val="005A122B"/>
    <w:rsid w:val="005A1269"/>
    <w:rsid w:val="005A29CD"/>
    <w:rsid w:val="005A2AFE"/>
    <w:rsid w:val="005A3547"/>
    <w:rsid w:val="005A3886"/>
    <w:rsid w:val="005A50E3"/>
    <w:rsid w:val="005A5286"/>
    <w:rsid w:val="005A5527"/>
    <w:rsid w:val="005A56C3"/>
    <w:rsid w:val="005A5AE6"/>
    <w:rsid w:val="005A6833"/>
    <w:rsid w:val="005A6A91"/>
    <w:rsid w:val="005A77B9"/>
    <w:rsid w:val="005B06C7"/>
    <w:rsid w:val="005B07B3"/>
    <w:rsid w:val="005B1206"/>
    <w:rsid w:val="005B2996"/>
    <w:rsid w:val="005B2DB1"/>
    <w:rsid w:val="005B2F7A"/>
    <w:rsid w:val="005B3593"/>
    <w:rsid w:val="005B375C"/>
    <w:rsid w:val="005B37E8"/>
    <w:rsid w:val="005B4075"/>
    <w:rsid w:val="005B4388"/>
    <w:rsid w:val="005B4824"/>
    <w:rsid w:val="005B51A8"/>
    <w:rsid w:val="005B5CD9"/>
    <w:rsid w:val="005B6D52"/>
    <w:rsid w:val="005C0056"/>
    <w:rsid w:val="005C1A02"/>
    <w:rsid w:val="005C1D76"/>
    <w:rsid w:val="005C2045"/>
    <w:rsid w:val="005C31F5"/>
    <w:rsid w:val="005C441A"/>
    <w:rsid w:val="005C45EB"/>
    <w:rsid w:val="005C4CF5"/>
    <w:rsid w:val="005C4E2D"/>
    <w:rsid w:val="005C5E9E"/>
    <w:rsid w:val="005C6B14"/>
    <w:rsid w:val="005C6E5B"/>
    <w:rsid w:val="005C72D8"/>
    <w:rsid w:val="005C775C"/>
    <w:rsid w:val="005D0D1D"/>
    <w:rsid w:val="005D0F25"/>
    <w:rsid w:val="005D18C9"/>
    <w:rsid w:val="005D1A71"/>
    <w:rsid w:val="005D24A9"/>
    <w:rsid w:val="005D2F9C"/>
    <w:rsid w:val="005D34B6"/>
    <w:rsid w:val="005D3D15"/>
    <w:rsid w:val="005D5DAC"/>
    <w:rsid w:val="005D61D6"/>
    <w:rsid w:val="005D6467"/>
    <w:rsid w:val="005D6C66"/>
    <w:rsid w:val="005D6D71"/>
    <w:rsid w:val="005E0563"/>
    <w:rsid w:val="005E08A2"/>
    <w:rsid w:val="005E0D13"/>
    <w:rsid w:val="005E15FF"/>
    <w:rsid w:val="005E174F"/>
    <w:rsid w:val="005E3B12"/>
    <w:rsid w:val="005E447C"/>
    <w:rsid w:val="005E4523"/>
    <w:rsid w:val="005E4E65"/>
    <w:rsid w:val="005E5047"/>
    <w:rsid w:val="005E5BEF"/>
    <w:rsid w:val="005E7205"/>
    <w:rsid w:val="005E7371"/>
    <w:rsid w:val="005E7890"/>
    <w:rsid w:val="005E7D47"/>
    <w:rsid w:val="005F03F7"/>
    <w:rsid w:val="005F0D0F"/>
    <w:rsid w:val="005F116C"/>
    <w:rsid w:val="005F18A4"/>
    <w:rsid w:val="005F1A8E"/>
    <w:rsid w:val="005F2131"/>
    <w:rsid w:val="005F24AA"/>
    <w:rsid w:val="005F268D"/>
    <w:rsid w:val="005F2E7C"/>
    <w:rsid w:val="005F397A"/>
    <w:rsid w:val="005F3ADA"/>
    <w:rsid w:val="005F45E6"/>
    <w:rsid w:val="005F51DF"/>
    <w:rsid w:val="005F581D"/>
    <w:rsid w:val="005F668C"/>
    <w:rsid w:val="005F6BA6"/>
    <w:rsid w:val="005F7921"/>
    <w:rsid w:val="00601147"/>
    <w:rsid w:val="006020EA"/>
    <w:rsid w:val="006022CB"/>
    <w:rsid w:val="006029B2"/>
    <w:rsid w:val="0060326E"/>
    <w:rsid w:val="00604139"/>
    <w:rsid w:val="006042D5"/>
    <w:rsid w:val="00604B30"/>
    <w:rsid w:val="00605184"/>
    <w:rsid w:val="006052F2"/>
    <w:rsid w:val="00605B37"/>
    <w:rsid w:val="00605C82"/>
    <w:rsid w:val="00605EF6"/>
    <w:rsid w:val="00606455"/>
    <w:rsid w:val="00607356"/>
    <w:rsid w:val="00607B93"/>
    <w:rsid w:val="006106B1"/>
    <w:rsid w:val="00610E6A"/>
    <w:rsid w:val="006114B6"/>
    <w:rsid w:val="00612D0F"/>
    <w:rsid w:val="0061305B"/>
    <w:rsid w:val="0061376C"/>
    <w:rsid w:val="00613DB9"/>
    <w:rsid w:val="00614929"/>
    <w:rsid w:val="00615D52"/>
    <w:rsid w:val="00616372"/>
    <w:rsid w:val="00616511"/>
    <w:rsid w:val="006176ED"/>
    <w:rsid w:val="006202F3"/>
    <w:rsid w:val="006207EC"/>
    <w:rsid w:val="0062097A"/>
    <w:rsid w:val="00621DA6"/>
    <w:rsid w:val="00621ECF"/>
    <w:rsid w:val="006236D5"/>
    <w:rsid w:val="00623CFE"/>
    <w:rsid w:val="00625E31"/>
    <w:rsid w:val="00626A5C"/>
    <w:rsid w:val="00626D6B"/>
    <w:rsid w:val="00626DB0"/>
    <w:rsid w:val="00627221"/>
    <w:rsid w:val="00627EE8"/>
    <w:rsid w:val="00630671"/>
    <w:rsid w:val="00630D4A"/>
    <w:rsid w:val="00630ED1"/>
    <w:rsid w:val="006316FA"/>
    <w:rsid w:val="0063287D"/>
    <w:rsid w:val="00632DC1"/>
    <w:rsid w:val="00633F06"/>
    <w:rsid w:val="00634AAE"/>
    <w:rsid w:val="00635B1A"/>
    <w:rsid w:val="0063641E"/>
    <w:rsid w:val="00636AD7"/>
    <w:rsid w:val="00636EFA"/>
    <w:rsid w:val="006370D2"/>
    <w:rsid w:val="0064074F"/>
    <w:rsid w:val="0064084A"/>
    <w:rsid w:val="00641F55"/>
    <w:rsid w:val="00644517"/>
    <w:rsid w:val="006458F7"/>
    <w:rsid w:val="00645AE8"/>
    <w:rsid w:val="00645E31"/>
    <w:rsid w:val="00645E34"/>
    <w:rsid w:val="00645E4A"/>
    <w:rsid w:val="0064631C"/>
    <w:rsid w:val="006510F0"/>
    <w:rsid w:val="0065198B"/>
    <w:rsid w:val="00652482"/>
    <w:rsid w:val="00653618"/>
    <w:rsid w:val="00653688"/>
    <w:rsid w:val="006536AB"/>
    <w:rsid w:val="00653E1B"/>
    <w:rsid w:val="00654BDE"/>
    <w:rsid w:val="00654C6D"/>
    <w:rsid w:val="00655CF4"/>
    <w:rsid w:val="006563FC"/>
    <w:rsid w:val="00656C46"/>
    <w:rsid w:val="00656D15"/>
    <w:rsid w:val="00656D33"/>
    <w:rsid w:val="00656F26"/>
    <w:rsid w:val="00657ED3"/>
    <w:rsid w:val="0066091B"/>
    <w:rsid w:val="0066185D"/>
    <w:rsid w:val="00661AA0"/>
    <w:rsid w:val="00662DA2"/>
    <w:rsid w:val="00663EC1"/>
    <w:rsid w:val="00664981"/>
    <w:rsid w:val="006649A0"/>
    <w:rsid w:val="00664D77"/>
    <w:rsid w:val="00664F5A"/>
    <w:rsid w:val="00665D7C"/>
    <w:rsid w:val="00666074"/>
    <w:rsid w:val="006660E9"/>
    <w:rsid w:val="00667249"/>
    <w:rsid w:val="006674B8"/>
    <w:rsid w:val="00667558"/>
    <w:rsid w:val="006708B2"/>
    <w:rsid w:val="00671523"/>
    <w:rsid w:val="0067331D"/>
    <w:rsid w:val="00674217"/>
    <w:rsid w:val="0067446F"/>
    <w:rsid w:val="006754EF"/>
    <w:rsid w:val="00675A1E"/>
    <w:rsid w:val="00675FC2"/>
    <w:rsid w:val="00676C8D"/>
    <w:rsid w:val="00676F1F"/>
    <w:rsid w:val="00677381"/>
    <w:rsid w:val="00677414"/>
    <w:rsid w:val="006804AB"/>
    <w:rsid w:val="00680C21"/>
    <w:rsid w:val="00680D1A"/>
    <w:rsid w:val="00681A08"/>
    <w:rsid w:val="00681A58"/>
    <w:rsid w:val="00681BB9"/>
    <w:rsid w:val="00681CAF"/>
    <w:rsid w:val="006824C4"/>
    <w:rsid w:val="00682D88"/>
    <w:rsid w:val="006832CF"/>
    <w:rsid w:val="00684149"/>
    <w:rsid w:val="0068601E"/>
    <w:rsid w:val="006863D0"/>
    <w:rsid w:val="00686BEE"/>
    <w:rsid w:val="00690D8C"/>
    <w:rsid w:val="006935DA"/>
    <w:rsid w:val="00693A3F"/>
    <w:rsid w:val="0069486B"/>
    <w:rsid w:val="00696592"/>
    <w:rsid w:val="00696E4B"/>
    <w:rsid w:val="0069778D"/>
    <w:rsid w:val="006A0612"/>
    <w:rsid w:val="006A0C30"/>
    <w:rsid w:val="006A24DD"/>
    <w:rsid w:val="006A349F"/>
    <w:rsid w:val="006A394F"/>
    <w:rsid w:val="006A467E"/>
    <w:rsid w:val="006A4904"/>
    <w:rsid w:val="006A51A4"/>
    <w:rsid w:val="006A548F"/>
    <w:rsid w:val="006A5CA9"/>
    <w:rsid w:val="006A6299"/>
    <w:rsid w:val="006A6BEF"/>
    <w:rsid w:val="006A701A"/>
    <w:rsid w:val="006A7BAC"/>
    <w:rsid w:val="006B04D3"/>
    <w:rsid w:val="006B0DA8"/>
    <w:rsid w:val="006B0FB4"/>
    <w:rsid w:val="006B26A5"/>
    <w:rsid w:val="006B317D"/>
    <w:rsid w:val="006B35EC"/>
    <w:rsid w:val="006B3657"/>
    <w:rsid w:val="006B5943"/>
    <w:rsid w:val="006B6495"/>
    <w:rsid w:val="006B64DC"/>
    <w:rsid w:val="006B65D0"/>
    <w:rsid w:val="006B726F"/>
    <w:rsid w:val="006B7A91"/>
    <w:rsid w:val="006B7D6A"/>
    <w:rsid w:val="006C0019"/>
    <w:rsid w:val="006C09E1"/>
    <w:rsid w:val="006C11B6"/>
    <w:rsid w:val="006C1E9D"/>
    <w:rsid w:val="006C3914"/>
    <w:rsid w:val="006C3F31"/>
    <w:rsid w:val="006C3F3B"/>
    <w:rsid w:val="006C4346"/>
    <w:rsid w:val="006C46DA"/>
    <w:rsid w:val="006C7345"/>
    <w:rsid w:val="006C7561"/>
    <w:rsid w:val="006C7590"/>
    <w:rsid w:val="006C786F"/>
    <w:rsid w:val="006C7D9C"/>
    <w:rsid w:val="006D0117"/>
    <w:rsid w:val="006D021E"/>
    <w:rsid w:val="006D075D"/>
    <w:rsid w:val="006D0E1E"/>
    <w:rsid w:val="006D1111"/>
    <w:rsid w:val="006D1620"/>
    <w:rsid w:val="006D1A12"/>
    <w:rsid w:val="006D3D79"/>
    <w:rsid w:val="006D4704"/>
    <w:rsid w:val="006D4B5D"/>
    <w:rsid w:val="006D4F72"/>
    <w:rsid w:val="006D5230"/>
    <w:rsid w:val="006D6A2D"/>
    <w:rsid w:val="006E1546"/>
    <w:rsid w:val="006E1E18"/>
    <w:rsid w:val="006E2955"/>
    <w:rsid w:val="006E2B1C"/>
    <w:rsid w:val="006E31CE"/>
    <w:rsid w:val="006E34D3"/>
    <w:rsid w:val="006E3E65"/>
    <w:rsid w:val="006E4597"/>
    <w:rsid w:val="006E48F4"/>
    <w:rsid w:val="006E4D2B"/>
    <w:rsid w:val="006E4F72"/>
    <w:rsid w:val="006E5153"/>
    <w:rsid w:val="006E74CC"/>
    <w:rsid w:val="006F03DE"/>
    <w:rsid w:val="006F1435"/>
    <w:rsid w:val="006F2814"/>
    <w:rsid w:val="006F3215"/>
    <w:rsid w:val="006F443B"/>
    <w:rsid w:val="006F5EBA"/>
    <w:rsid w:val="006F6A6F"/>
    <w:rsid w:val="006F70ED"/>
    <w:rsid w:val="006F78C4"/>
    <w:rsid w:val="006F7FE2"/>
    <w:rsid w:val="007001E0"/>
    <w:rsid w:val="007003AC"/>
    <w:rsid w:val="007024B3"/>
    <w:rsid w:val="00702B5E"/>
    <w:rsid w:val="00702CA9"/>
    <w:rsid w:val="00702F10"/>
    <w:rsid w:val="007031A0"/>
    <w:rsid w:val="0070352B"/>
    <w:rsid w:val="00703573"/>
    <w:rsid w:val="00703D68"/>
    <w:rsid w:val="00704A78"/>
    <w:rsid w:val="00705A29"/>
    <w:rsid w:val="00705E00"/>
    <w:rsid w:val="00706249"/>
    <w:rsid w:val="00706384"/>
    <w:rsid w:val="007066E8"/>
    <w:rsid w:val="00707039"/>
    <w:rsid w:val="00707498"/>
    <w:rsid w:val="007079B7"/>
    <w:rsid w:val="00710122"/>
    <w:rsid w:val="007109E8"/>
    <w:rsid w:val="00710C26"/>
    <w:rsid w:val="00710DA8"/>
    <w:rsid w:val="00711A65"/>
    <w:rsid w:val="00712344"/>
    <w:rsid w:val="00712B14"/>
    <w:rsid w:val="00712E53"/>
    <w:rsid w:val="00713B8F"/>
    <w:rsid w:val="00713E8F"/>
    <w:rsid w:val="00714133"/>
    <w:rsid w:val="007143D9"/>
    <w:rsid w:val="00714DA4"/>
    <w:rsid w:val="007156DC"/>
    <w:rsid w:val="007158B2"/>
    <w:rsid w:val="00715DB8"/>
    <w:rsid w:val="00715F57"/>
    <w:rsid w:val="00716081"/>
    <w:rsid w:val="0072034A"/>
    <w:rsid w:val="00720C7B"/>
    <w:rsid w:val="007213A5"/>
    <w:rsid w:val="00722944"/>
    <w:rsid w:val="00722B48"/>
    <w:rsid w:val="007231C0"/>
    <w:rsid w:val="00723662"/>
    <w:rsid w:val="00723A3A"/>
    <w:rsid w:val="00723D6F"/>
    <w:rsid w:val="00724164"/>
    <w:rsid w:val="007242CB"/>
    <w:rsid w:val="007244D1"/>
    <w:rsid w:val="0072456B"/>
    <w:rsid w:val="00725DE7"/>
    <w:rsid w:val="007260BA"/>
    <w:rsid w:val="00726322"/>
    <w:rsid w:val="0072636A"/>
    <w:rsid w:val="007266D4"/>
    <w:rsid w:val="007267CA"/>
    <w:rsid w:val="00726B44"/>
    <w:rsid w:val="00726D66"/>
    <w:rsid w:val="00727324"/>
    <w:rsid w:val="00727348"/>
    <w:rsid w:val="007318DD"/>
    <w:rsid w:val="00732FF9"/>
    <w:rsid w:val="00733167"/>
    <w:rsid w:val="007335CA"/>
    <w:rsid w:val="00734218"/>
    <w:rsid w:val="00734AFC"/>
    <w:rsid w:val="00734F64"/>
    <w:rsid w:val="00736BE6"/>
    <w:rsid w:val="00737AEE"/>
    <w:rsid w:val="007407A2"/>
    <w:rsid w:val="007408E8"/>
    <w:rsid w:val="00740D2C"/>
    <w:rsid w:val="00741E65"/>
    <w:rsid w:val="00742228"/>
    <w:rsid w:val="007427BA"/>
    <w:rsid w:val="00742998"/>
    <w:rsid w:val="00742DAD"/>
    <w:rsid w:val="0074428F"/>
    <w:rsid w:val="007449AF"/>
    <w:rsid w:val="00744BF9"/>
    <w:rsid w:val="00744C92"/>
    <w:rsid w:val="00745FE3"/>
    <w:rsid w:val="0074605C"/>
    <w:rsid w:val="0074653A"/>
    <w:rsid w:val="007474ED"/>
    <w:rsid w:val="007500CB"/>
    <w:rsid w:val="00751E82"/>
    <w:rsid w:val="00752623"/>
    <w:rsid w:val="00753070"/>
    <w:rsid w:val="0075344A"/>
    <w:rsid w:val="00754859"/>
    <w:rsid w:val="0075555E"/>
    <w:rsid w:val="007572DB"/>
    <w:rsid w:val="0075768A"/>
    <w:rsid w:val="00757BD9"/>
    <w:rsid w:val="00760F1F"/>
    <w:rsid w:val="00761983"/>
    <w:rsid w:val="00762096"/>
    <w:rsid w:val="00762533"/>
    <w:rsid w:val="00762A6A"/>
    <w:rsid w:val="0076319E"/>
    <w:rsid w:val="007633AE"/>
    <w:rsid w:val="00763D7C"/>
    <w:rsid w:val="007640B9"/>
    <w:rsid w:val="00764155"/>
    <w:rsid w:val="00764235"/>
    <w:rsid w:val="0076423E"/>
    <w:rsid w:val="007646CB"/>
    <w:rsid w:val="00765476"/>
    <w:rsid w:val="00765B69"/>
    <w:rsid w:val="0076658F"/>
    <w:rsid w:val="007668DA"/>
    <w:rsid w:val="007674E3"/>
    <w:rsid w:val="007678E4"/>
    <w:rsid w:val="00770023"/>
    <w:rsid w:val="0077040A"/>
    <w:rsid w:val="00772D64"/>
    <w:rsid w:val="00773504"/>
    <w:rsid w:val="0077383B"/>
    <w:rsid w:val="00774478"/>
    <w:rsid w:val="00774BD7"/>
    <w:rsid w:val="00774C75"/>
    <w:rsid w:val="00774F09"/>
    <w:rsid w:val="0077562F"/>
    <w:rsid w:val="0077577D"/>
    <w:rsid w:val="00776456"/>
    <w:rsid w:val="007808BC"/>
    <w:rsid w:val="00781511"/>
    <w:rsid w:val="00781B7D"/>
    <w:rsid w:val="00781D20"/>
    <w:rsid w:val="00782175"/>
    <w:rsid w:val="00783186"/>
    <w:rsid w:val="00783664"/>
    <w:rsid w:val="00783F47"/>
    <w:rsid w:val="0078411E"/>
    <w:rsid w:val="00785115"/>
    <w:rsid w:val="00785A02"/>
    <w:rsid w:val="00785D83"/>
    <w:rsid w:val="00786CDD"/>
    <w:rsid w:val="00786D2A"/>
    <w:rsid w:val="00790669"/>
    <w:rsid w:val="00790D2C"/>
    <w:rsid w:val="007914B3"/>
    <w:rsid w:val="007922DE"/>
    <w:rsid w:val="00792609"/>
    <w:rsid w:val="00792887"/>
    <w:rsid w:val="00794101"/>
    <w:rsid w:val="007943E2"/>
    <w:rsid w:val="007945E8"/>
    <w:rsid w:val="00794F2C"/>
    <w:rsid w:val="00795A73"/>
    <w:rsid w:val="00795D6A"/>
    <w:rsid w:val="00797315"/>
    <w:rsid w:val="007A0136"/>
    <w:rsid w:val="007A0416"/>
    <w:rsid w:val="007A2509"/>
    <w:rsid w:val="007A2AD7"/>
    <w:rsid w:val="007A2E8E"/>
    <w:rsid w:val="007A3BC7"/>
    <w:rsid w:val="007A4FFD"/>
    <w:rsid w:val="007A5AC4"/>
    <w:rsid w:val="007A5CBE"/>
    <w:rsid w:val="007A6AF7"/>
    <w:rsid w:val="007A6B16"/>
    <w:rsid w:val="007A7322"/>
    <w:rsid w:val="007A7FA0"/>
    <w:rsid w:val="007B0B64"/>
    <w:rsid w:val="007B0D02"/>
    <w:rsid w:val="007B0E41"/>
    <w:rsid w:val="007B0FDD"/>
    <w:rsid w:val="007B235B"/>
    <w:rsid w:val="007B2543"/>
    <w:rsid w:val="007B3E68"/>
    <w:rsid w:val="007B4802"/>
    <w:rsid w:val="007B511E"/>
    <w:rsid w:val="007B6668"/>
    <w:rsid w:val="007B6B33"/>
    <w:rsid w:val="007B74EA"/>
    <w:rsid w:val="007B7D4E"/>
    <w:rsid w:val="007C0F14"/>
    <w:rsid w:val="007C1BF0"/>
    <w:rsid w:val="007C1CE0"/>
    <w:rsid w:val="007C1E04"/>
    <w:rsid w:val="007C1E82"/>
    <w:rsid w:val="007C2473"/>
    <w:rsid w:val="007C26A1"/>
    <w:rsid w:val="007C2701"/>
    <w:rsid w:val="007C300E"/>
    <w:rsid w:val="007C324E"/>
    <w:rsid w:val="007C3BD2"/>
    <w:rsid w:val="007C4981"/>
    <w:rsid w:val="007C59C0"/>
    <w:rsid w:val="007C5DE9"/>
    <w:rsid w:val="007C6385"/>
    <w:rsid w:val="007C6CCC"/>
    <w:rsid w:val="007C7A7D"/>
    <w:rsid w:val="007D2192"/>
    <w:rsid w:val="007D358E"/>
    <w:rsid w:val="007D4578"/>
    <w:rsid w:val="007D52E2"/>
    <w:rsid w:val="007D6FFD"/>
    <w:rsid w:val="007D7A78"/>
    <w:rsid w:val="007E0096"/>
    <w:rsid w:val="007E075B"/>
    <w:rsid w:val="007E0798"/>
    <w:rsid w:val="007E210F"/>
    <w:rsid w:val="007E2986"/>
    <w:rsid w:val="007E2BFD"/>
    <w:rsid w:val="007E3B84"/>
    <w:rsid w:val="007E4070"/>
    <w:rsid w:val="007E5775"/>
    <w:rsid w:val="007E58FF"/>
    <w:rsid w:val="007E641E"/>
    <w:rsid w:val="007E6AA4"/>
    <w:rsid w:val="007F0021"/>
    <w:rsid w:val="007F0502"/>
    <w:rsid w:val="007F0B44"/>
    <w:rsid w:val="007F0D7D"/>
    <w:rsid w:val="007F11BF"/>
    <w:rsid w:val="007F13B9"/>
    <w:rsid w:val="007F159F"/>
    <w:rsid w:val="007F22C7"/>
    <w:rsid w:val="007F2361"/>
    <w:rsid w:val="007F2850"/>
    <w:rsid w:val="007F2F52"/>
    <w:rsid w:val="007F4D42"/>
    <w:rsid w:val="007F4D66"/>
    <w:rsid w:val="007F501E"/>
    <w:rsid w:val="007F5619"/>
    <w:rsid w:val="007F5A92"/>
    <w:rsid w:val="007F7097"/>
    <w:rsid w:val="007F7B6A"/>
    <w:rsid w:val="0080062A"/>
    <w:rsid w:val="00800939"/>
    <w:rsid w:val="00800CBF"/>
    <w:rsid w:val="00801F71"/>
    <w:rsid w:val="00804765"/>
    <w:rsid w:val="00804C6F"/>
    <w:rsid w:val="00805216"/>
    <w:rsid w:val="00805F28"/>
    <w:rsid w:val="0080723A"/>
    <w:rsid w:val="0080749F"/>
    <w:rsid w:val="00807A01"/>
    <w:rsid w:val="0081049F"/>
    <w:rsid w:val="00811D46"/>
    <w:rsid w:val="0081211E"/>
    <w:rsid w:val="0081250D"/>
    <w:rsid w:val="008125B0"/>
    <w:rsid w:val="00812CCB"/>
    <w:rsid w:val="008144CB"/>
    <w:rsid w:val="008149E3"/>
    <w:rsid w:val="00814EAC"/>
    <w:rsid w:val="00815407"/>
    <w:rsid w:val="0081669D"/>
    <w:rsid w:val="008172F3"/>
    <w:rsid w:val="00817D15"/>
    <w:rsid w:val="00821717"/>
    <w:rsid w:val="0082204E"/>
    <w:rsid w:val="008222F2"/>
    <w:rsid w:val="00822DFF"/>
    <w:rsid w:val="00823545"/>
    <w:rsid w:val="00824210"/>
    <w:rsid w:val="008247DC"/>
    <w:rsid w:val="0082490D"/>
    <w:rsid w:val="0082508F"/>
    <w:rsid w:val="008263C0"/>
    <w:rsid w:val="008269D9"/>
    <w:rsid w:val="00826A9C"/>
    <w:rsid w:val="00826B45"/>
    <w:rsid w:val="008306F6"/>
    <w:rsid w:val="00830864"/>
    <w:rsid w:val="00830897"/>
    <w:rsid w:val="00831523"/>
    <w:rsid w:val="00832D22"/>
    <w:rsid w:val="008337B4"/>
    <w:rsid w:val="00834DB4"/>
    <w:rsid w:val="008353C2"/>
    <w:rsid w:val="0083681D"/>
    <w:rsid w:val="008369BF"/>
    <w:rsid w:val="008400C7"/>
    <w:rsid w:val="00841422"/>
    <w:rsid w:val="008419AD"/>
    <w:rsid w:val="00841D3B"/>
    <w:rsid w:val="008424B6"/>
    <w:rsid w:val="0084314C"/>
    <w:rsid w:val="00843171"/>
    <w:rsid w:val="0084331A"/>
    <w:rsid w:val="008447B4"/>
    <w:rsid w:val="00845390"/>
    <w:rsid w:val="00845AB3"/>
    <w:rsid w:val="00845B7D"/>
    <w:rsid w:val="008460C3"/>
    <w:rsid w:val="008479A5"/>
    <w:rsid w:val="00850653"/>
    <w:rsid w:val="0085083B"/>
    <w:rsid w:val="00850E52"/>
    <w:rsid w:val="00851A61"/>
    <w:rsid w:val="008533B0"/>
    <w:rsid w:val="008536B6"/>
    <w:rsid w:val="00853CF8"/>
    <w:rsid w:val="00856C08"/>
    <w:rsid w:val="008575C3"/>
    <w:rsid w:val="00857919"/>
    <w:rsid w:val="00857C75"/>
    <w:rsid w:val="0086021E"/>
    <w:rsid w:val="00860291"/>
    <w:rsid w:val="008604D5"/>
    <w:rsid w:val="008605A9"/>
    <w:rsid w:val="008623EA"/>
    <w:rsid w:val="008624E9"/>
    <w:rsid w:val="00863D28"/>
    <w:rsid w:val="00863D5D"/>
    <w:rsid w:val="0086458C"/>
    <w:rsid w:val="008648C3"/>
    <w:rsid w:val="00865C72"/>
    <w:rsid w:val="00867168"/>
    <w:rsid w:val="0086793D"/>
    <w:rsid w:val="008703FA"/>
    <w:rsid w:val="0087069B"/>
    <w:rsid w:val="008722A2"/>
    <w:rsid w:val="008725BE"/>
    <w:rsid w:val="00873039"/>
    <w:rsid w:val="00873C66"/>
    <w:rsid w:val="00874A82"/>
    <w:rsid w:val="0087530D"/>
    <w:rsid w:val="00875AFD"/>
    <w:rsid w:val="00875EAE"/>
    <w:rsid w:val="008767C3"/>
    <w:rsid w:val="00876B3D"/>
    <w:rsid w:val="00876CE3"/>
    <w:rsid w:val="0087727C"/>
    <w:rsid w:val="008775DD"/>
    <w:rsid w:val="0087793F"/>
    <w:rsid w:val="00880F26"/>
    <w:rsid w:val="00881751"/>
    <w:rsid w:val="00881D97"/>
    <w:rsid w:val="008821D6"/>
    <w:rsid w:val="00882669"/>
    <w:rsid w:val="0088326B"/>
    <w:rsid w:val="00884262"/>
    <w:rsid w:val="008845B3"/>
    <w:rsid w:val="0088483D"/>
    <w:rsid w:val="008869DE"/>
    <w:rsid w:val="00886DB8"/>
    <w:rsid w:val="008870C1"/>
    <w:rsid w:val="008872D9"/>
    <w:rsid w:val="00890BEE"/>
    <w:rsid w:val="00891085"/>
    <w:rsid w:val="00891F82"/>
    <w:rsid w:val="00892202"/>
    <w:rsid w:val="00892B47"/>
    <w:rsid w:val="00892B7A"/>
    <w:rsid w:val="00894EAF"/>
    <w:rsid w:val="00896427"/>
    <w:rsid w:val="00896C2E"/>
    <w:rsid w:val="00896E42"/>
    <w:rsid w:val="00897659"/>
    <w:rsid w:val="008A02DB"/>
    <w:rsid w:val="008A0493"/>
    <w:rsid w:val="008A1A99"/>
    <w:rsid w:val="008A2209"/>
    <w:rsid w:val="008A27A2"/>
    <w:rsid w:val="008A2E2B"/>
    <w:rsid w:val="008A34AA"/>
    <w:rsid w:val="008A374E"/>
    <w:rsid w:val="008A3FA9"/>
    <w:rsid w:val="008A5095"/>
    <w:rsid w:val="008A608F"/>
    <w:rsid w:val="008A6715"/>
    <w:rsid w:val="008A6E72"/>
    <w:rsid w:val="008B0880"/>
    <w:rsid w:val="008B0E88"/>
    <w:rsid w:val="008B10ED"/>
    <w:rsid w:val="008B1A9A"/>
    <w:rsid w:val="008B1CFA"/>
    <w:rsid w:val="008B2A66"/>
    <w:rsid w:val="008B2C3E"/>
    <w:rsid w:val="008B35FF"/>
    <w:rsid w:val="008B4617"/>
    <w:rsid w:val="008B4725"/>
    <w:rsid w:val="008B48A1"/>
    <w:rsid w:val="008B4FE6"/>
    <w:rsid w:val="008B53F3"/>
    <w:rsid w:val="008B5861"/>
    <w:rsid w:val="008B5B0F"/>
    <w:rsid w:val="008B5F8B"/>
    <w:rsid w:val="008B63E6"/>
    <w:rsid w:val="008B6C37"/>
    <w:rsid w:val="008B6E32"/>
    <w:rsid w:val="008B74EB"/>
    <w:rsid w:val="008B771E"/>
    <w:rsid w:val="008C3DED"/>
    <w:rsid w:val="008C48A6"/>
    <w:rsid w:val="008C4A82"/>
    <w:rsid w:val="008C4FD7"/>
    <w:rsid w:val="008C52F6"/>
    <w:rsid w:val="008C64D9"/>
    <w:rsid w:val="008C65A5"/>
    <w:rsid w:val="008C68BE"/>
    <w:rsid w:val="008C78A0"/>
    <w:rsid w:val="008D0089"/>
    <w:rsid w:val="008D050C"/>
    <w:rsid w:val="008D07C7"/>
    <w:rsid w:val="008D0B90"/>
    <w:rsid w:val="008D1C4B"/>
    <w:rsid w:val="008D279E"/>
    <w:rsid w:val="008D40A0"/>
    <w:rsid w:val="008D42DD"/>
    <w:rsid w:val="008D74B5"/>
    <w:rsid w:val="008D7CC1"/>
    <w:rsid w:val="008E07A4"/>
    <w:rsid w:val="008E18F7"/>
    <w:rsid w:val="008E1B45"/>
    <w:rsid w:val="008E1E10"/>
    <w:rsid w:val="008E1F8B"/>
    <w:rsid w:val="008E28C9"/>
    <w:rsid w:val="008E291B"/>
    <w:rsid w:val="008E2CB3"/>
    <w:rsid w:val="008E358B"/>
    <w:rsid w:val="008E3D14"/>
    <w:rsid w:val="008E3D3F"/>
    <w:rsid w:val="008E4157"/>
    <w:rsid w:val="008E4F2F"/>
    <w:rsid w:val="008E4F99"/>
    <w:rsid w:val="008E58FD"/>
    <w:rsid w:val="008E6D03"/>
    <w:rsid w:val="008E6D33"/>
    <w:rsid w:val="008E74B0"/>
    <w:rsid w:val="008F0B33"/>
    <w:rsid w:val="008F1380"/>
    <w:rsid w:val="008F1AB8"/>
    <w:rsid w:val="008F1DA7"/>
    <w:rsid w:val="008F329D"/>
    <w:rsid w:val="008F354C"/>
    <w:rsid w:val="008F47E6"/>
    <w:rsid w:val="008F495E"/>
    <w:rsid w:val="008F56F1"/>
    <w:rsid w:val="008F5E29"/>
    <w:rsid w:val="008F6DE8"/>
    <w:rsid w:val="008F79B2"/>
    <w:rsid w:val="009000F4"/>
    <w:rsid w:val="009008A8"/>
    <w:rsid w:val="00901BCB"/>
    <w:rsid w:val="009038E6"/>
    <w:rsid w:val="009055C3"/>
    <w:rsid w:val="009063B0"/>
    <w:rsid w:val="009068FF"/>
    <w:rsid w:val="00906DE7"/>
    <w:rsid w:val="00907106"/>
    <w:rsid w:val="009107D2"/>
    <w:rsid w:val="009107FD"/>
    <w:rsid w:val="0091126D"/>
    <w:rsid w:val="0091137C"/>
    <w:rsid w:val="00911567"/>
    <w:rsid w:val="00911BB9"/>
    <w:rsid w:val="00911E96"/>
    <w:rsid w:val="0091281E"/>
    <w:rsid w:val="00912F31"/>
    <w:rsid w:val="00913C23"/>
    <w:rsid w:val="0091440C"/>
    <w:rsid w:val="00914F5B"/>
    <w:rsid w:val="009150A3"/>
    <w:rsid w:val="0091616F"/>
    <w:rsid w:val="0091659C"/>
    <w:rsid w:val="00916618"/>
    <w:rsid w:val="0091791B"/>
    <w:rsid w:val="00917AAE"/>
    <w:rsid w:val="00917BF1"/>
    <w:rsid w:val="0092124B"/>
    <w:rsid w:val="009228AA"/>
    <w:rsid w:val="009238D0"/>
    <w:rsid w:val="009251A9"/>
    <w:rsid w:val="009255FA"/>
    <w:rsid w:val="00925668"/>
    <w:rsid w:val="00925C0E"/>
    <w:rsid w:val="009269EE"/>
    <w:rsid w:val="00927755"/>
    <w:rsid w:val="00927CD9"/>
    <w:rsid w:val="00927D73"/>
    <w:rsid w:val="0093003E"/>
    <w:rsid w:val="00930699"/>
    <w:rsid w:val="00931F69"/>
    <w:rsid w:val="00932488"/>
    <w:rsid w:val="0093253B"/>
    <w:rsid w:val="00934123"/>
    <w:rsid w:val="00935026"/>
    <w:rsid w:val="00936BC8"/>
    <w:rsid w:val="00936F7C"/>
    <w:rsid w:val="00937750"/>
    <w:rsid w:val="0094128A"/>
    <w:rsid w:val="00942027"/>
    <w:rsid w:val="009423D5"/>
    <w:rsid w:val="00942E7B"/>
    <w:rsid w:val="00943937"/>
    <w:rsid w:val="00944277"/>
    <w:rsid w:val="00945500"/>
    <w:rsid w:val="0094623F"/>
    <w:rsid w:val="009465A3"/>
    <w:rsid w:val="00947747"/>
    <w:rsid w:val="0094779F"/>
    <w:rsid w:val="00952559"/>
    <w:rsid w:val="009528D0"/>
    <w:rsid w:val="00953B25"/>
    <w:rsid w:val="00955774"/>
    <w:rsid w:val="009558BE"/>
    <w:rsid w:val="009560B5"/>
    <w:rsid w:val="00956D95"/>
    <w:rsid w:val="00957372"/>
    <w:rsid w:val="00957444"/>
    <w:rsid w:val="009603B5"/>
    <w:rsid w:val="00960F76"/>
    <w:rsid w:val="00961A10"/>
    <w:rsid w:val="0096246C"/>
    <w:rsid w:val="009625AC"/>
    <w:rsid w:val="00962EB0"/>
    <w:rsid w:val="00962FD8"/>
    <w:rsid w:val="00963154"/>
    <w:rsid w:val="009632B5"/>
    <w:rsid w:val="009641A0"/>
    <w:rsid w:val="00964B0B"/>
    <w:rsid w:val="00965137"/>
    <w:rsid w:val="009652A9"/>
    <w:rsid w:val="00965455"/>
    <w:rsid w:val="00965648"/>
    <w:rsid w:val="00965B8B"/>
    <w:rsid w:val="00966687"/>
    <w:rsid w:val="0096724C"/>
    <w:rsid w:val="009672FC"/>
    <w:rsid w:val="009703D6"/>
    <w:rsid w:val="0097103B"/>
    <w:rsid w:val="0097169F"/>
    <w:rsid w:val="009716D4"/>
    <w:rsid w:val="0097181B"/>
    <w:rsid w:val="00971BD3"/>
    <w:rsid w:val="009747A8"/>
    <w:rsid w:val="0097668A"/>
    <w:rsid w:val="00976DC5"/>
    <w:rsid w:val="00977EEC"/>
    <w:rsid w:val="009818C7"/>
    <w:rsid w:val="00981B9A"/>
    <w:rsid w:val="00981BE5"/>
    <w:rsid w:val="009827E7"/>
    <w:rsid w:val="009827FB"/>
    <w:rsid w:val="009829D7"/>
    <w:rsid w:val="00982A2E"/>
    <w:rsid w:val="00982DD4"/>
    <w:rsid w:val="00983215"/>
    <w:rsid w:val="00983862"/>
    <w:rsid w:val="009841E5"/>
    <w:rsid w:val="0098479F"/>
    <w:rsid w:val="00984A8A"/>
    <w:rsid w:val="00984EC7"/>
    <w:rsid w:val="009857B6"/>
    <w:rsid w:val="00985A8D"/>
    <w:rsid w:val="00985D3F"/>
    <w:rsid w:val="00986610"/>
    <w:rsid w:val="009869A8"/>
    <w:rsid w:val="009877DC"/>
    <w:rsid w:val="00987C00"/>
    <w:rsid w:val="00987C4E"/>
    <w:rsid w:val="00987EDA"/>
    <w:rsid w:val="00990AC4"/>
    <w:rsid w:val="00990FA8"/>
    <w:rsid w:val="00991120"/>
    <w:rsid w:val="00991F96"/>
    <w:rsid w:val="00992927"/>
    <w:rsid w:val="00993BB8"/>
    <w:rsid w:val="00995AE7"/>
    <w:rsid w:val="00996F0A"/>
    <w:rsid w:val="00997D8D"/>
    <w:rsid w:val="009A1B6F"/>
    <w:rsid w:val="009A1C4C"/>
    <w:rsid w:val="009A1D86"/>
    <w:rsid w:val="009A4F62"/>
    <w:rsid w:val="009A5418"/>
    <w:rsid w:val="009A551E"/>
    <w:rsid w:val="009A7B8F"/>
    <w:rsid w:val="009A7FC3"/>
    <w:rsid w:val="009B049C"/>
    <w:rsid w:val="009B086A"/>
    <w:rsid w:val="009B0AC3"/>
    <w:rsid w:val="009B0C63"/>
    <w:rsid w:val="009B0DAD"/>
    <w:rsid w:val="009B0DC5"/>
    <w:rsid w:val="009B11C8"/>
    <w:rsid w:val="009B1972"/>
    <w:rsid w:val="009B2036"/>
    <w:rsid w:val="009B2BCF"/>
    <w:rsid w:val="009B2EB1"/>
    <w:rsid w:val="009B2FF8"/>
    <w:rsid w:val="009B480A"/>
    <w:rsid w:val="009B5BA3"/>
    <w:rsid w:val="009B5D0D"/>
    <w:rsid w:val="009B691F"/>
    <w:rsid w:val="009C0671"/>
    <w:rsid w:val="009C0CA5"/>
    <w:rsid w:val="009C19C7"/>
    <w:rsid w:val="009C1C4B"/>
    <w:rsid w:val="009C2517"/>
    <w:rsid w:val="009C3094"/>
    <w:rsid w:val="009C41A9"/>
    <w:rsid w:val="009C5AA0"/>
    <w:rsid w:val="009C63D0"/>
    <w:rsid w:val="009C6B3A"/>
    <w:rsid w:val="009C771E"/>
    <w:rsid w:val="009D0027"/>
    <w:rsid w:val="009D0465"/>
    <w:rsid w:val="009D0655"/>
    <w:rsid w:val="009D145A"/>
    <w:rsid w:val="009D1D9B"/>
    <w:rsid w:val="009D3942"/>
    <w:rsid w:val="009D3D11"/>
    <w:rsid w:val="009D5A19"/>
    <w:rsid w:val="009D6741"/>
    <w:rsid w:val="009D727C"/>
    <w:rsid w:val="009E0866"/>
    <w:rsid w:val="009E0AC2"/>
    <w:rsid w:val="009E0C11"/>
    <w:rsid w:val="009E1E98"/>
    <w:rsid w:val="009E2612"/>
    <w:rsid w:val="009E2F75"/>
    <w:rsid w:val="009E34CD"/>
    <w:rsid w:val="009E361F"/>
    <w:rsid w:val="009E3ABE"/>
    <w:rsid w:val="009E3C4B"/>
    <w:rsid w:val="009E4445"/>
    <w:rsid w:val="009E4BE5"/>
    <w:rsid w:val="009E56C4"/>
    <w:rsid w:val="009E7D9C"/>
    <w:rsid w:val="009F00FC"/>
    <w:rsid w:val="009F058F"/>
    <w:rsid w:val="009F05B4"/>
    <w:rsid w:val="009F0637"/>
    <w:rsid w:val="009F0963"/>
    <w:rsid w:val="009F0C6B"/>
    <w:rsid w:val="009F1019"/>
    <w:rsid w:val="009F12D7"/>
    <w:rsid w:val="009F25F1"/>
    <w:rsid w:val="009F3326"/>
    <w:rsid w:val="009F4AEC"/>
    <w:rsid w:val="009F5D7B"/>
    <w:rsid w:val="009F621D"/>
    <w:rsid w:val="009F62A6"/>
    <w:rsid w:val="009F674F"/>
    <w:rsid w:val="009F6C29"/>
    <w:rsid w:val="009F7638"/>
    <w:rsid w:val="009F799E"/>
    <w:rsid w:val="009F7D90"/>
    <w:rsid w:val="00A00241"/>
    <w:rsid w:val="00A01F57"/>
    <w:rsid w:val="00A02020"/>
    <w:rsid w:val="00A03553"/>
    <w:rsid w:val="00A03561"/>
    <w:rsid w:val="00A0521B"/>
    <w:rsid w:val="00A056CB"/>
    <w:rsid w:val="00A05F55"/>
    <w:rsid w:val="00A07783"/>
    <w:rsid w:val="00A07A29"/>
    <w:rsid w:val="00A1007D"/>
    <w:rsid w:val="00A106C0"/>
    <w:rsid w:val="00A10E27"/>
    <w:rsid w:val="00A10EFB"/>
    <w:rsid w:val="00A10FF1"/>
    <w:rsid w:val="00A11425"/>
    <w:rsid w:val="00A117AD"/>
    <w:rsid w:val="00A11D5F"/>
    <w:rsid w:val="00A1203B"/>
    <w:rsid w:val="00A1355C"/>
    <w:rsid w:val="00A136FC"/>
    <w:rsid w:val="00A1506B"/>
    <w:rsid w:val="00A1528B"/>
    <w:rsid w:val="00A15290"/>
    <w:rsid w:val="00A15510"/>
    <w:rsid w:val="00A15B4B"/>
    <w:rsid w:val="00A15CAF"/>
    <w:rsid w:val="00A162DF"/>
    <w:rsid w:val="00A1637C"/>
    <w:rsid w:val="00A163EE"/>
    <w:rsid w:val="00A1641C"/>
    <w:rsid w:val="00A16978"/>
    <w:rsid w:val="00A16D5A"/>
    <w:rsid w:val="00A17C96"/>
    <w:rsid w:val="00A17CB2"/>
    <w:rsid w:val="00A21A85"/>
    <w:rsid w:val="00A22F25"/>
    <w:rsid w:val="00A22F6A"/>
    <w:rsid w:val="00A23191"/>
    <w:rsid w:val="00A238C5"/>
    <w:rsid w:val="00A2580F"/>
    <w:rsid w:val="00A2619E"/>
    <w:rsid w:val="00A26358"/>
    <w:rsid w:val="00A267CD"/>
    <w:rsid w:val="00A26C01"/>
    <w:rsid w:val="00A27235"/>
    <w:rsid w:val="00A2772D"/>
    <w:rsid w:val="00A30D76"/>
    <w:rsid w:val="00A315EC"/>
    <w:rsid w:val="00A31821"/>
    <w:rsid w:val="00A319C0"/>
    <w:rsid w:val="00A32EB9"/>
    <w:rsid w:val="00A33560"/>
    <w:rsid w:val="00A345A1"/>
    <w:rsid w:val="00A3472E"/>
    <w:rsid w:val="00A34972"/>
    <w:rsid w:val="00A34A60"/>
    <w:rsid w:val="00A364E4"/>
    <w:rsid w:val="00A371A5"/>
    <w:rsid w:val="00A4009A"/>
    <w:rsid w:val="00A400D3"/>
    <w:rsid w:val="00A404F5"/>
    <w:rsid w:val="00A4086A"/>
    <w:rsid w:val="00A41E0C"/>
    <w:rsid w:val="00A420CA"/>
    <w:rsid w:val="00A4267D"/>
    <w:rsid w:val="00A435B8"/>
    <w:rsid w:val="00A44198"/>
    <w:rsid w:val="00A45332"/>
    <w:rsid w:val="00A458C9"/>
    <w:rsid w:val="00A46E17"/>
    <w:rsid w:val="00A473E5"/>
    <w:rsid w:val="00A47B6E"/>
    <w:rsid w:val="00A47BDF"/>
    <w:rsid w:val="00A50DE2"/>
    <w:rsid w:val="00A5127D"/>
    <w:rsid w:val="00A51CD7"/>
    <w:rsid w:val="00A52ADB"/>
    <w:rsid w:val="00A52E2D"/>
    <w:rsid w:val="00A533E8"/>
    <w:rsid w:val="00A53DE4"/>
    <w:rsid w:val="00A540CB"/>
    <w:rsid w:val="00A542D9"/>
    <w:rsid w:val="00A547AC"/>
    <w:rsid w:val="00A551C6"/>
    <w:rsid w:val="00A5542A"/>
    <w:rsid w:val="00A55DA0"/>
    <w:rsid w:val="00A55F51"/>
    <w:rsid w:val="00A56631"/>
    <w:rsid w:val="00A56E64"/>
    <w:rsid w:val="00A570CD"/>
    <w:rsid w:val="00A602BE"/>
    <w:rsid w:val="00A60476"/>
    <w:rsid w:val="00A60C7C"/>
    <w:rsid w:val="00A6184E"/>
    <w:rsid w:val="00A623C5"/>
    <w:rsid w:val="00A624C3"/>
    <w:rsid w:val="00A627BB"/>
    <w:rsid w:val="00A637DC"/>
    <w:rsid w:val="00A643DD"/>
    <w:rsid w:val="00A643F8"/>
    <w:rsid w:val="00A6641C"/>
    <w:rsid w:val="00A66ADC"/>
    <w:rsid w:val="00A66D75"/>
    <w:rsid w:val="00A674B5"/>
    <w:rsid w:val="00A70351"/>
    <w:rsid w:val="00A72292"/>
    <w:rsid w:val="00A724F2"/>
    <w:rsid w:val="00A7251B"/>
    <w:rsid w:val="00A731D1"/>
    <w:rsid w:val="00A73314"/>
    <w:rsid w:val="00A73E10"/>
    <w:rsid w:val="00A748B6"/>
    <w:rsid w:val="00A74F76"/>
    <w:rsid w:val="00A750B5"/>
    <w:rsid w:val="00A75467"/>
    <w:rsid w:val="00A762D0"/>
    <w:rsid w:val="00A767D2"/>
    <w:rsid w:val="00A77616"/>
    <w:rsid w:val="00A805DA"/>
    <w:rsid w:val="00A808D5"/>
    <w:rsid w:val="00A80A8A"/>
    <w:rsid w:val="00A80F3A"/>
    <w:rsid w:val="00A811B4"/>
    <w:rsid w:val="00A811CB"/>
    <w:rsid w:val="00A818FD"/>
    <w:rsid w:val="00A81B7B"/>
    <w:rsid w:val="00A81B91"/>
    <w:rsid w:val="00A81E39"/>
    <w:rsid w:val="00A825FD"/>
    <w:rsid w:val="00A82C7E"/>
    <w:rsid w:val="00A82D95"/>
    <w:rsid w:val="00A835D3"/>
    <w:rsid w:val="00A83C6A"/>
    <w:rsid w:val="00A846B7"/>
    <w:rsid w:val="00A84C5E"/>
    <w:rsid w:val="00A84D6C"/>
    <w:rsid w:val="00A856BC"/>
    <w:rsid w:val="00A86A62"/>
    <w:rsid w:val="00A87979"/>
    <w:rsid w:val="00A879C4"/>
    <w:rsid w:val="00A87CDE"/>
    <w:rsid w:val="00A913D0"/>
    <w:rsid w:val="00A913D3"/>
    <w:rsid w:val="00A91700"/>
    <w:rsid w:val="00A91AC7"/>
    <w:rsid w:val="00A92945"/>
    <w:rsid w:val="00A92BAF"/>
    <w:rsid w:val="00A93092"/>
    <w:rsid w:val="00A9405D"/>
    <w:rsid w:val="00A9438D"/>
    <w:rsid w:val="00A94737"/>
    <w:rsid w:val="00A94BA3"/>
    <w:rsid w:val="00A953D6"/>
    <w:rsid w:val="00A961F1"/>
    <w:rsid w:val="00A9649B"/>
    <w:rsid w:val="00A96571"/>
    <w:rsid w:val="00A96B6E"/>
    <w:rsid w:val="00A96CBA"/>
    <w:rsid w:val="00A9725F"/>
    <w:rsid w:val="00AA08B4"/>
    <w:rsid w:val="00AA0F5D"/>
    <w:rsid w:val="00AA1CD3"/>
    <w:rsid w:val="00AA2392"/>
    <w:rsid w:val="00AA3A28"/>
    <w:rsid w:val="00AA4156"/>
    <w:rsid w:val="00AA4B56"/>
    <w:rsid w:val="00AA520D"/>
    <w:rsid w:val="00AA5CCE"/>
    <w:rsid w:val="00AA6443"/>
    <w:rsid w:val="00AA698D"/>
    <w:rsid w:val="00AA6A9C"/>
    <w:rsid w:val="00AB1110"/>
    <w:rsid w:val="00AB1ACD"/>
    <w:rsid w:val="00AB1B23"/>
    <w:rsid w:val="00AB1E04"/>
    <w:rsid w:val="00AB21E9"/>
    <w:rsid w:val="00AB277F"/>
    <w:rsid w:val="00AB4099"/>
    <w:rsid w:val="00AB42E6"/>
    <w:rsid w:val="00AB4393"/>
    <w:rsid w:val="00AB449A"/>
    <w:rsid w:val="00AB4502"/>
    <w:rsid w:val="00AB4EFF"/>
    <w:rsid w:val="00AB672D"/>
    <w:rsid w:val="00AB7427"/>
    <w:rsid w:val="00AC0498"/>
    <w:rsid w:val="00AC0FB5"/>
    <w:rsid w:val="00AC1773"/>
    <w:rsid w:val="00AC1791"/>
    <w:rsid w:val="00AC18F9"/>
    <w:rsid w:val="00AC29C4"/>
    <w:rsid w:val="00AC418A"/>
    <w:rsid w:val="00AC46DC"/>
    <w:rsid w:val="00AC5085"/>
    <w:rsid w:val="00AC53A6"/>
    <w:rsid w:val="00AC6196"/>
    <w:rsid w:val="00AC6AE3"/>
    <w:rsid w:val="00AC722B"/>
    <w:rsid w:val="00AC72E8"/>
    <w:rsid w:val="00AD040C"/>
    <w:rsid w:val="00AD14F9"/>
    <w:rsid w:val="00AD1DD6"/>
    <w:rsid w:val="00AD28F7"/>
    <w:rsid w:val="00AD2F56"/>
    <w:rsid w:val="00AD3237"/>
    <w:rsid w:val="00AD35D6"/>
    <w:rsid w:val="00AD398C"/>
    <w:rsid w:val="00AD58C5"/>
    <w:rsid w:val="00AD5D1B"/>
    <w:rsid w:val="00AD7FA8"/>
    <w:rsid w:val="00AE0039"/>
    <w:rsid w:val="00AE0EC5"/>
    <w:rsid w:val="00AE2BF5"/>
    <w:rsid w:val="00AE3074"/>
    <w:rsid w:val="00AE31B6"/>
    <w:rsid w:val="00AE36C4"/>
    <w:rsid w:val="00AE3E03"/>
    <w:rsid w:val="00AE472C"/>
    <w:rsid w:val="00AE4899"/>
    <w:rsid w:val="00AE49FD"/>
    <w:rsid w:val="00AE4C57"/>
    <w:rsid w:val="00AE5375"/>
    <w:rsid w:val="00AE5969"/>
    <w:rsid w:val="00AE6C67"/>
    <w:rsid w:val="00AE6CF8"/>
    <w:rsid w:val="00AE766D"/>
    <w:rsid w:val="00AF0742"/>
    <w:rsid w:val="00AF1022"/>
    <w:rsid w:val="00AF20C6"/>
    <w:rsid w:val="00AF2806"/>
    <w:rsid w:val="00AF2ECF"/>
    <w:rsid w:val="00AF46F5"/>
    <w:rsid w:val="00AF4CAC"/>
    <w:rsid w:val="00AF4D0D"/>
    <w:rsid w:val="00AF5537"/>
    <w:rsid w:val="00AF55DD"/>
    <w:rsid w:val="00AF5801"/>
    <w:rsid w:val="00AF6813"/>
    <w:rsid w:val="00AF6984"/>
    <w:rsid w:val="00AF6DFB"/>
    <w:rsid w:val="00AF7627"/>
    <w:rsid w:val="00AF7CBA"/>
    <w:rsid w:val="00AF7D89"/>
    <w:rsid w:val="00AF7E24"/>
    <w:rsid w:val="00AF7F1F"/>
    <w:rsid w:val="00B0002E"/>
    <w:rsid w:val="00B003C1"/>
    <w:rsid w:val="00B015F6"/>
    <w:rsid w:val="00B030BB"/>
    <w:rsid w:val="00B03A49"/>
    <w:rsid w:val="00B03E0D"/>
    <w:rsid w:val="00B04EEC"/>
    <w:rsid w:val="00B04F8B"/>
    <w:rsid w:val="00B054F8"/>
    <w:rsid w:val="00B05693"/>
    <w:rsid w:val="00B07354"/>
    <w:rsid w:val="00B07E56"/>
    <w:rsid w:val="00B10921"/>
    <w:rsid w:val="00B12D73"/>
    <w:rsid w:val="00B12DAC"/>
    <w:rsid w:val="00B13D51"/>
    <w:rsid w:val="00B1570E"/>
    <w:rsid w:val="00B17CDF"/>
    <w:rsid w:val="00B20B93"/>
    <w:rsid w:val="00B21759"/>
    <w:rsid w:val="00B21F79"/>
    <w:rsid w:val="00B2219A"/>
    <w:rsid w:val="00B226F2"/>
    <w:rsid w:val="00B23861"/>
    <w:rsid w:val="00B23BFA"/>
    <w:rsid w:val="00B2453F"/>
    <w:rsid w:val="00B26081"/>
    <w:rsid w:val="00B3035F"/>
    <w:rsid w:val="00B30EEB"/>
    <w:rsid w:val="00B31F41"/>
    <w:rsid w:val="00B3209C"/>
    <w:rsid w:val="00B331A8"/>
    <w:rsid w:val="00B340F5"/>
    <w:rsid w:val="00B3470F"/>
    <w:rsid w:val="00B34A69"/>
    <w:rsid w:val="00B3581B"/>
    <w:rsid w:val="00B35BF5"/>
    <w:rsid w:val="00B36B81"/>
    <w:rsid w:val="00B36FEE"/>
    <w:rsid w:val="00B37C80"/>
    <w:rsid w:val="00B37CDA"/>
    <w:rsid w:val="00B37D63"/>
    <w:rsid w:val="00B40115"/>
    <w:rsid w:val="00B40521"/>
    <w:rsid w:val="00B406D6"/>
    <w:rsid w:val="00B40C06"/>
    <w:rsid w:val="00B41E61"/>
    <w:rsid w:val="00B41F53"/>
    <w:rsid w:val="00B44A3E"/>
    <w:rsid w:val="00B4563E"/>
    <w:rsid w:val="00B46202"/>
    <w:rsid w:val="00B46318"/>
    <w:rsid w:val="00B468EC"/>
    <w:rsid w:val="00B46C79"/>
    <w:rsid w:val="00B4728F"/>
    <w:rsid w:val="00B47683"/>
    <w:rsid w:val="00B5092B"/>
    <w:rsid w:val="00B5194E"/>
    <w:rsid w:val="00B51AF5"/>
    <w:rsid w:val="00B527C7"/>
    <w:rsid w:val="00B52B9F"/>
    <w:rsid w:val="00B531FC"/>
    <w:rsid w:val="00B53BCF"/>
    <w:rsid w:val="00B54C21"/>
    <w:rsid w:val="00B54D43"/>
    <w:rsid w:val="00B551C0"/>
    <w:rsid w:val="00B55347"/>
    <w:rsid w:val="00B55996"/>
    <w:rsid w:val="00B55FAE"/>
    <w:rsid w:val="00B56DBC"/>
    <w:rsid w:val="00B57C90"/>
    <w:rsid w:val="00B57E5E"/>
    <w:rsid w:val="00B60746"/>
    <w:rsid w:val="00B607FD"/>
    <w:rsid w:val="00B608DB"/>
    <w:rsid w:val="00B61F37"/>
    <w:rsid w:val="00B622CE"/>
    <w:rsid w:val="00B63826"/>
    <w:rsid w:val="00B642CE"/>
    <w:rsid w:val="00B649EE"/>
    <w:rsid w:val="00B658C5"/>
    <w:rsid w:val="00B659F0"/>
    <w:rsid w:val="00B66563"/>
    <w:rsid w:val="00B67214"/>
    <w:rsid w:val="00B71306"/>
    <w:rsid w:val="00B7151C"/>
    <w:rsid w:val="00B719F2"/>
    <w:rsid w:val="00B720E3"/>
    <w:rsid w:val="00B733EB"/>
    <w:rsid w:val="00B73F84"/>
    <w:rsid w:val="00B747A9"/>
    <w:rsid w:val="00B760CD"/>
    <w:rsid w:val="00B767DE"/>
    <w:rsid w:val="00B7684C"/>
    <w:rsid w:val="00B768C4"/>
    <w:rsid w:val="00B771C8"/>
    <w:rsid w:val="00B7770F"/>
    <w:rsid w:val="00B77718"/>
    <w:rsid w:val="00B77A89"/>
    <w:rsid w:val="00B77B27"/>
    <w:rsid w:val="00B8134E"/>
    <w:rsid w:val="00B81B55"/>
    <w:rsid w:val="00B8241B"/>
    <w:rsid w:val="00B82A31"/>
    <w:rsid w:val="00B8338C"/>
    <w:rsid w:val="00B83D3D"/>
    <w:rsid w:val="00B84613"/>
    <w:rsid w:val="00B84C27"/>
    <w:rsid w:val="00B861CE"/>
    <w:rsid w:val="00B8628F"/>
    <w:rsid w:val="00B8677E"/>
    <w:rsid w:val="00B86B48"/>
    <w:rsid w:val="00B874BB"/>
    <w:rsid w:val="00B8752D"/>
    <w:rsid w:val="00B87A21"/>
    <w:rsid w:val="00B87AF0"/>
    <w:rsid w:val="00B9037B"/>
    <w:rsid w:val="00B910BD"/>
    <w:rsid w:val="00B913DB"/>
    <w:rsid w:val="00B9316B"/>
    <w:rsid w:val="00B932DA"/>
    <w:rsid w:val="00B93608"/>
    <w:rsid w:val="00B93834"/>
    <w:rsid w:val="00B9416C"/>
    <w:rsid w:val="00B94806"/>
    <w:rsid w:val="00B94B26"/>
    <w:rsid w:val="00B94D83"/>
    <w:rsid w:val="00B94F3A"/>
    <w:rsid w:val="00B9554C"/>
    <w:rsid w:val="00B95859"/>
    <w:rsid w:val="00B95B07"/>
    <w:rsid w:val="00B96469"/>
    <w:rsid w:val="00B9716A"/>
    <w:rsid w:val="00B97FF7"/>
    <w:rsid w:val="00BA0536"/>
    <w:rsid w:val="00BA0DA2"/>
    <w:rsid w:val="00BA1745"/>
    <w:rsid w:val="00BA17E7"/>
    <w:rsid w:val="00BA182F"/>
    <w:rsid w:val="00BA1BA0"/>
    <w:rsid w:val="00BA23BB"/>
    <w:rsid w:val="00BA24C7"/>
    <w:rsid w:val="00BA2940"/>
    <w:rsid w:val="00BA2981"/>
    <w:rsid w:val="00BA2AF3"/>
    <w:rsid w:val="00BA2FE1"/>
    <w:rsid w:val="00BA35B7"/>
    <w:rsid w:val="00BA3631"/>
    <w:rsid w:val="00BA38FC"/>
    <w:rsid w:val="00BA42EE"/>
    <w:rsid w:val="00BA4493"/>
    <w:rsid w:val="00BA48F9"/>
    <w:rsid w:val="00BA5EF5"/>
    <w:rsid w:val="00BA760C"/>
    <w:rsid w:val="00BA7C0B"/>
    <w:rsid w:val="00BB0DCA"/>
    <w:rsid w:val="00BB1481"/>
    <w:rsid w:val="00BB1768"/>
    <w:rsid w:val="00BB1811"/>
    <w:rsid w:val="00BB2666"/>
    <w:rsid w:val="00BB39D4"/>
    <w:rsid w:val="00BB4B80"/>
    <w:rsid w:val="00BB4D99"/>
    <w:rsid w:val="00BB66E1"/>
    <w:rsid w:val="00BB69EF"/>
    <w:rsid w:val="00BB6B80"/>
    <w:rsid w:val="00BB7ACB"/>
    <w:rsid w:val="00BB7B97"/>
    <w:rsid w:val="00BC0002"/>
    <w:rsid w:val="00BC0A32"/>
    <w:rsid w:val="00BC0FC7"/>
    <w:rsid w:val="00BC16BC"/>
    <w:rsid w:val="00BC197F"/>
    <w:rsid w:val="00BC2208"/>
    <w:rsid w:val="00BC263C"/>
    <w:rsid w:val="00BC2A95"/>
    <w:rsid w:val="00BC2C24"/>
    <w:rsid w:val="00BC31F7"/>
    <w:rsid w:val="00BC3773"/>
    <w:rsid w:val="00BC381A"/>
    <w:rsid w:val="00BC3C23"/>
    <w:rsid w:val="00BC3DDD"/>
    <w:rsid w:val="00BC4042"/>
    <w:rsid w:val="00BC5634"/>
    <w:rsid w:val="00BC636C"/>
    <w:rsid w:val="00BC6AB4"/>
    <w:rsid w:val="00BC7132"/>
    <w:rsid w:val="00BC7449"/>
    <w:rsid w:val="00BD0962"/>
    <w:rsid w:val="00BD0F4D"/>
    <w:rsid w:val="00BD1014"/>
    <w:rsid w:val="00BD1CA9"/>
    <w:rsid w:val="00BD1CC1"/>
    <w:rsid w:val="00BD1EED"/>
    <w:rsid w:val="00BD3729"/>
    <w:rsid w:val="00BD46ED"/>
    <w:rsid w:val="00BD5519"/>
    <w:rsid w:val="00BD5A25"/>
    <w:rsid w:val="00BD6466"/>
    <w:rsid w:val="00BD64BE"/>
    <w:rsid w:val="00BD68A7"/>
    <w:rsid w:val="00BD696C"/>
    <w:rsid w:val="00BD6F1D"/>
    <w:rsid w:val="00BD71F8"/>
    <w:rsid w:val="00BD7634"/>
    <w:rsid w:val="00BD7E3D"/>
    <w:rsid w:val="00BE10C0"/>
    <w:rsid w:val="00BE305B"/>
    <w:rsid w:val="00BE39E2"/>
    <w:rsid w:val="00BE4556"/>
    <w:rsid w:val="00BE4B1D"/>
    <w:rsid w:val="00BE4B4E"/>
    <w:rsid w:val="00BE668B"/>
    <w:rsid w:val="00BE6E49"/>
    <w:rsid w:val="00BE713A"/>
    <w:rsid w:val="00BE775A"/>
    <w:rsid w:val="00BE789B"/>
    <w:rsid w:val="00BE7DA4"/>
    <w:rsid w:val="00BF0005"/>
    <w:rsid w:val="00BF0D67"/>
    <w:rsid w:val="00BF0DA2"/>
    <w:rsid w:val="00BF109C"/>
    <w:rsid w:val="00BF1180"/>
    <w:rsid w:val="00BF13EE"/>
    <w:rsid w:val="00BF19D3"/>
    <w:rsid w:val="00BF289F"/>
    <w:rsid w:val="00BF34FA"/>
    <w:rsid w:val="00BF409E"/>
    <w:rsid w:val="00BF4333"/>
    <w:rsid w:val="00BF43BE"/>
    <w:rsid w:val="00BF4A1E"/>
    <w:rsid w:val="00BF5461"/>
    <w:rsid w:val="00BF575D"/>
    <w:rsid w:val="00BF5E04"/>
    <w:rsid w:val="00BF66AB"/>
    <w:rsid w:val="00BF6E9B"/>
    <w:rsid w:val="00C004B6"/>
    <w:rsid w:val="00C0114D"/>
    <w:rsid w:val="00C02322"/>
    <w:rsid w:val="00C02940"/>
    <w:rsid w:val="00C047A7"/>
    <w:rsid w:val="00C05068"/>
    <w:rsid w:val="00C05DE5"/>
    <w:rsid w:val="00C0646A"/>
    <w:rsid w:val="00C07C76"/>
    <w:rsid w:val="00C1071E"/>
    <w:rsid w:val="00C10837"/>
    <w:rsid w:val="00C10A75"/>
    <w:rsid w:val="00C111D9"/>
    <w:rsid w:val="00C14C75"/>
    <w:rsid w:val="00C14EA7"/>
    <w:rsid w:val="00C15ACC"/>
    <w:rsid w:val="00C160D5"/>
    <w:rsid w:val="00C16DBD"/>
    <w:rsid w:val="00C16E0C"/>
    <w:rsid w:val="00C1740A"/>
    <w:rsid w:val="00C21557"/>
    <w:rsid w:val="00C22E0B"/>
    <w:rsid w:val="00C233FB"/>
    <w:rsid w:val="00C23DB4"/>
    <w:rsid w:val="00C246A0"/>
    <w:rsid w:val="00C24E9E"/>
    <w:rsid w:val="00C25C07"/>
    <w:rsid w:val="00C26D3C"/>
    <w:rsid w:val="00C26F1B"/>
    <w:rsid w:val="00C30C58"/>
    <w:rsid w:val="00C30E7B"/>
    <w:rsid w:val="00C3177F"/>
    <w:rsid w:val="00C3201D"/>
    <w:rsid w:val="00C32BD7"/>
    <w:rsid w:val="00C33027"/>
    <w:rsid w:val="00C33BCA"/>
    <w:rsid w:val="00C3424F"/>
    <w:rsid w:val="00C348B2"/>
    <w:rsid w:val="00C3543B"/>
    <w:rsid w:val="00C355BC"/>
    <w:rsid w:val="00C359FF"/>
    <w:rsid w:val="00C35BEC"/>
    <w:rsid w:val="00C35E28"/>
    <w:rsid w:val="00C36723"/>
    <w:rsid w:val="00C36D06"/>
    <w:rsid w:val="00C36D74"/>
    <w:rsid w:val="00C3734F"/>
    <w:rsid w:val="00C37667"/>
    <w:rsid w:val="00C37675"/>
    <w:rsid w:val="00C37B14"/>
    <w:rsid w:val="00C4126B"/>
    <w:rsid w:val="00C41B30"/>
    <w:rsid w:val="00C42A6B"/>
    <w:rsid w:val="00C435DB"/>
    <w:rsid w:val="00C444F4"/>
    <w:rsid w:val="00C44D73"/>
    <w:rsid w:val="00C44E04"/>
    <w:rsid w:val="00C45EA7"/>
    <w:rsid w:val="00C46958"/>
    <w:rsid w:val="00C47B4A"/>
    <w:rsid w:val="00C50658"/>
    <w:rsid w:val="00C50B42"/>
    <w:rsid w:val="00C50EAD"/>
    <w:rsid w:val="00C516FF"/>
    <w:rsid w:val="00C51705"/>
    <w:rsid w:val="00C51A1C"/>
    <w:rsid w:val="00C51B6F"/>
    <w:rsid w:val="00C52693"/>
    <w:rsid w:val="00C52BFA"/>
    <w:rsid w:val="00C53C2E"/>
    <w:rsid w:val="00C53D1D"/>
    <w:rsid w:val="00C53F26"/>
    <w:rsid w:val="00C540BC"/>
    <w:rsid w:val="00C54320"/>
    <w:rsid w:val="00C5450D"/>
    <w:rsid w:val="00C547A6"/>
    <w:rsid w:val="00C54C50"/>
    <w:rsid w:val="00C54F3A"/>
    <w:rsid w:val="00C559E6"/>
    <w:rsid w:val="00C570E3"/>
    <w:rsid w:val="00C57C05"/>
    <w:rsid w:val="00C60706"/>
    <w:rsid w:val="00C607A7"/>
    <w:rsid w:val="00C60996"/>
    <w:rsid w:val="00C60AF5"/>
    <w:rsid w:val="00C61043"/>
    <w:rsid w:val="00C61CCB"/>
    <w:rsid w:val="00C62361"/>
    <w:rsid w:val="00C6271A"/>
    <w:rsid w:val="00C635BF"/>
    <w:rsid w:val="00C63D42"/>
    <w:rsid w:val="00C640BC"/>
    <w:rsid w:val="00C644DA"/>
    <w:rsid w:val="00C647D7"/>
    <w:rsid w:val="00C6486B"/>
    <w:rsid w:val="00C64E0F"/>
    <w:rsid w:val="00C64F7D"/>
    <w:rsid w:val="00C651CE"/>
    <w:rsid w:val="00C65284"/>
    <w:rsid w:val="00C66478"/>
    <w:rsid w:val="00C67309"/>
    <w:rsid w:val="00C67D67"/>
    <w:rsid w:val="00C67FC7"/>
    <w:rsid w:val="00C711E8"/>
    <w:rsid w:val="00C7168A"/>
    <w:rsid w:val="00C71D7E"/>
    <w:rsid w:val="00C72636"/>
    <w:rsid w:val="00C72F04"/>
    <w:rsid w:val="00C730C8"/>
    <w:rsid w:val="00C7614E"/>
    <w:rsid w:val="00C76328"/>
    <w:rsid w:val="00C77BF1"/>
    <w:rsid w:val="00C80835"/>
    <w:rsid w:val="00C80CB8"/>
    <w:rsid w:val="00C80D60"/>
    <w:rsid w:val="00C8147C"/>
    <w:rsid w:val="00C81C6A"/>
    <w:rsid w:val="00C82FBD"/>
    <w:rsid w:val="00C833B5"/>
    <w:rsid w:val="00C849F6"/>
    <w:rsid w:val="00C84AEF"/>
    <w:rsid w:val="00C85267"/>
    <w:rsid w:val="00C86081"/>
    <w:rsid w:val="00C86DE9"/>
    <w:rsid w:val="00C86F15"/>
    <w:rsid w:val="00C8721B"/>
    <w:rsid w:val="00C873AB"/>
    <w:rsid w:val="00C90191"/>
    <w:rsid w:val="00C901FF"/>
    <w:rsid w:val="00C90210"/>
    <w:rsid w:val="00C90BFA"/>
    <w:rsid w:val="00C9143D"/>
    <w:rsid w:val="00C91C70"/>
    <w:rsid w:val="00C920DA"/>
    <w:rsid w:val="00C92A47"/>
    <w:rsid w:val="00C92DB9"/>
    <w:rsid w:val="00C92E2E"/>
    <w:rsid w:val="00C9330B"/>
    <w:rsid w:val="00C9372C"/>
    <w:rsid w:val="00C93AC2"/>
    <w:rsid w:val="00C94587"/>
    <w:rsid w:val="00C9470E"/>
    <w:rsid w:val="00C95285"/>
    <w:rsid w:val="00C95CEB"/>
    <w:rsid w:val="00C96055"/>
    <w:rsid w:val="00C977A4"/>
    <w:rsid w:val="00C97F96"/>
    <w:rsid w:val="00CA0CC3"/>
    <w:rsid w:val="00CA1054"/>
    <w:rsid w:val="00CA1B8C"/>
    <w:rsid w:val="00CA28FB"/>
    <w:rsid w:val="00CA35BE"/>
    <w:rsid w:val="00CA3815"/>
    <w:rsid w:val="00CA3CE0"/>
    <w:rsid w:val="00CA3F7D"/>
    <w:rsid w:val="00CA4BEF"/>
    <w:rsid w:val="00CA4DC1"/>
    <w:rsid w:val="00CA4F5D"/>
    <w:rsid w:val="00CA63EB"/>
    <w:rsid w:val="00CA69F1"/>
    <w:rsid w:val="00CA6C49"/>
    <w:rsid w:val="00CA73D4"/>
    <w:rsid w:val="00CA7C78"/>
    <w:rsid w:val="00CB05B6"/>
    <w:rsid w:val="00CB06EF"/>
    <w:rsid w:val="00CB1157"/>
    <w:rsid w:val="00CB1D3F"/>
    <w:rsid w:val="00CB22EE"/>
    <w:rsid w:val="00CB2F85"/>
    <w:rsid w:val="00CB2FA4"/>
    <w:rsid w:val="00CB3993"/>
    <w:rsid w:val="00CB3A1F"/>
    <w:rsid w:val="00CB3CBA"/>
    <w:rsid w:val="00CB4A1E"/>
    <w:rsid w:val="00CB534B"/>
    <w:rsid w:val="00CB5C2E"/>
    <w:rsid w:val="00CB6991"/>
    <w:rsid w:val="00CB6E10"/>
    <w:rsid w:val="00CB7BC6"/>
    <w:rsid w:val="00CC2517"/>
    <w:rsid w:val="00CC3A9F"/>
    <w:rsid w:val="00CC3C78"/>
    <w:rsid w:val="00CC3E4A"/>
    <w:rsid w:val="00CC547D"/>
    <w:rsid w:val="00CC56B2"/>
    <w:rsid w:val="00CC6194"/>
    <w:rsid w:val="00CC6305"/>
    <w:rsid w:val="00CC78A5"/>
    <w:rsid w:val="00CC78DA"/>
    <w:rsid w:val="00CD0178"/>
    <w:rsid w:val="00CD0516"/>
    <w:rsid w:val="00CD0B93"/>
    <w:rsid w:val="00CD0F8F"/>
    <w:rsid w:val="00CD194B"/>
    <w:rsid w:val="00CD279C"/>
    <w:rsid w:val="00CD4957"/>
    <w:rsid w:val="00CD4C91"/>
    <w:rsid w:val="00CD53C2"/>
    <w:rsid w:val="00CD5757"/>
    <w:rsid w:val="00CD5DB8"/>
    <w:rsid w:val="00CD6955"/>
    <w:rsid w:val="00CD6DBF"/>
    <w:rsid w:val="00CD6E27"/>
    <w:rsid w:val="00CD756B"/>
    <w:rsid w:val="00CD7BD9"/>
    <w:rsid w:val="00CD7F58"/>
    <w:rsid w:val="00CD7FAC"/>
    <w:rsid w:val="00CE0252"/>
    <w:rsid w:val="00CE08E2"/>
    <w:rsid w:val="00CE0FEA"/>
    <w:rsid w:val="00CE134B"/>
    <w:rsid w:val="00CE253C"/>
    <w:rsid w:val="00CE2D1E"/>
    <w:rsid w:val="00CE32D5"/>
    <w:rsid w:val="00CE512D"/>
    <w:rsid w:val="00CE5A4F"/>
    <w:rsid w:val="00CE72AD"/>
    <w:rsid w:val="00CE734F"/>
    <w:rsid w:val="00CE7548"/>
    <w:rsid w:val="00CE7D24"/>
    <w:rsid w:val="00CF112E"/>
    <w:rsid w:val="00CF2CC2"/>
    <w:rsid w:val="00CF3E99"/>
    <w:rsid w:val="00CF5B83"/>
    <w:rsid w:val="00CF5DFB"/>
    <w:rsid w:val="00CF5F4F"/>
    <w:rsid w:val="00CF65C7"/>
    <w:rsid w:val="00CF660F"/>
    <w:rsid w:val="00CF7A54"/>
    <w:rsid w:val="00D002B2"/>
    <w:rsid w:val="00D00DDE"/>
    <w:rsid w:val="00D01738"/>
    <w:rsid w:val="00D0189E"/>
    <w:rsid w:val="00D01AF6"/>
    <w:rsid w:val="00D01CEF"/>
    <w:rsid w:val="00D021FB"/>
    <w:rsid w:val="00D03764"/>
    <w:rsid w:val="00D04886"/>
    <w:rsid w:val="00D04CCC"/>
    <w:rsid w:val="00D05E89"/>
    <w:rsid w:val="00D06847"/>
    <w:rsid w:val="00D06B51"/>
    <w:rsid w:val="00D06D7A"/>
    <w:rsid w:val="00D07D30"/>
    <w:rsid w:val="00D10473"/>
    <w:rsid w:val="00D10D4E"/>
    <w:rsid w:val="00D11448"/>
    <w:rsid w:val="00D117E4"/>
    <w:rsid w:val="00D12A04"/>
    <w:rsid w:val="00D13DC6"/>
    <w:rsid w:val="00D142AA"/>
    <w:rsid w:val="00D14409"/>
    <w:rsid w:val="00D1463C"/>
    <w:rsid w:val="00D14B98"/>
    <w:rsid w:val="00D14D27"/>
    <w:rsid w:val="00D155DC"/>
    <w:rsid w:val="00D15EDB"/>
    <w:rsid w:val="00D161C8"/>
    <w:rsid w:val="00D161EC"/>
    <w:rsid w:val="00D1620D"/>
    <w:rsid w:val="00D165B4"/>
    <w:rsid w:val="00D16B4A"/>
    <w:rsid w:val="00D16D15"/>
    <w:rsid w:val="00D17693"/>
    <w:rsid w:val="00D178CC"/>
    <w:rsid w:val="00D202C2"/>
    <w:rsid w:val="00D218DC"/>
    <w:rsid w:val="00D2205F"/>
    <w:rsid w:val="00D2222A"/>
    <w:rsid w:val="00D24E56"/>
    <w:rsid w:val="00D26264"/>
    <w:rsid w:val="00D26682"/>
    <w:rsid w:val="00D31643"/>
    <w:rsid w:val="00D317AB"/>
    <w:rsid w:val="00D31AEB"/>
    <w:rsid w:val="00D324B4"/>
    <w:rsid w:val="00D32720"/>
    <w:rsid w:val="00D32ECD"/>
    <w:rsid w:val="00D33B87"/>
    <w:rsid w:val="00D34260"/>
    <w:rsid w:val="00D34887"/>
    <w:rsid w:val="00D3522B"/>
    <w:rsid w:val="00D35CE7"/>
    <w:rsid w:val="00D35E3B"/>
    <w:rsid w:val="00D361E4"/>
    <w:rsid w:val="00D36781"/>
    <w:rsid w:val="00D36DC7"/>
    <w:rsid w:val="00D36F33"/>
    <w:rsid w:val="00D3707D"/>
    <w:rsid w:val="00D37338"/>
    <w:rsid w:val="00D37A2E"/>
    <w:rsid w:val="00D37E89"/>
    <w:rsid w:val="00D407C2"/>
    <w:rsid w:val="00D40D1D"/>
    <w:rsid w:val="00D40EC9"/>
    <w:rsid w:val="00D4121C"/>
    <w:rsid w:val="00D42805"/>
    <w:rsid w:val="00D42A8F"/>
    <w:rsid w:val="00D42E6C"/>
    <w:rsid w:val="00D439F6"/>
    <w:rsid w:val="00D43FD3"/>
    <w:rsid w:val="00D4439C"/>
    <w:rsid w:val="00D4477E"/>
    <w:rsid w:val="00D44B9C"/>
    <w:rsid w:val="00D44D81"/>
    <w:rsid w:val="00D459C6"/>
    <w:rsid w:val="00D45B3A"/>
    <w:rsid w:val="00D46894"/>
    <w:rsid w:val="00D46A72"/>
    <w:rsid w:val="00D46FE2"/>
    <w:rsid w:val="00D47E73"/>
    <w:rsid w:val="00D50729"/>
    <w:rsid w:val="00D50C19"/>
    <w:rsid w:val="00D517BB"/>
    <w:rsid w:val="00D519A3"/>
    <w:rsid w:val="00D52763"/>
    <w:rsid w:val="00D528A3"/>
    <w:rsid w:val="00D5379E"/>
    <w:rsid w:val="00D546B5"/>
    <w:rsid w:val="00D54A53"/>
    <w:rsid w:val="00D55246"/>
    <w:rsid w:val="00D5594D"/>
    <w:rsid w:val="00D57256"/>
    <w:rsid w:val="00D57A00"/>
    <w:rsid w:val="00D60210"/>
    <w:rsid w:val="00D60441"/>
    <w:rsid w:val="00D618E4"/>
    <w:rsid w:val="00D62118"/>
    <w:rsid w:val="00D6220A"/>
    <w:rsid w:val="00D62452"/>
    <w:rsid w:val="00D62643"/>
    <w:rsid w:val="00D632AD"/>
    <w:rsid w:val="00D6413B"/>
    <w:rsid w:val="00D647BB"/>
    <w:rsid w:val="00D64C0F"/>
    <w:rsid w:val="00D64DF9"/>
    <w:rsid w:val="00D64FA6"/>
    <w:rsid w:val="00D65186"/>
    <w:rsid w:val="00D65D2E"/>
    <w:rsid w:val="00D660C2"/>
    <w:rsid w:val="00D679E5"/>
    <w:rsid w:val="00D71992"/>
    <w:rsid w:val="00D71CC6"/>
    <w:rsid w:val="00D71DE6"/>
    <w:rsid w:val="00D72595"/>
    <w:rsid w:val="00D7289B"/>
    <w:rsid w:val="00D72EFE"/>
    <w:rsid w:val="00D738CC"/>
    <w:rsid w:val="00D73D0F"/>
    <w:rsid w:val="00D75426"/>
    <w:rsid w:val="00D7588D"/>
    <w:rsid w:val="00D75AF4"/>
    <w:rsid w:val="00D75C94"/>
    <w:rsid w:val="00D76227"/>
    <w:rsid w:val="00D76C7D"/>
    <w:rsid w:val="00D76E8E"/>
    <w:rsid w:val="00D77DF1"/>
    <w:rsid w:val="00D81D97"/>
    <w:rsid w:val="00D82781"/>
    <w:rsid w:val="00D82AD0"/>
    <w:rsid w:val="00D82C26"/>
    <w:rsid w:val="00D83483"/>
    <w:rsid w:val="00D83773"/>
    <w:rsid w:val="00D841D1"/>
    <w:rsid w:val="00D84E3E"/>
    <w:rsid w:val="00D85178"/>
    <w:rsid w:val="00D86AFF"/>
    <w:rsid w:val="00D86B55"/>
    <w:rsid w:val="00D91252"/>
    <w:rsid w:val="00D91E05"/>
    <w:rsid w:val="00D9272C"/>
    <w:rsid w:val="00D945B8"/>
    <w:rsid w:val="00D94675"/>
    <w:rsid w:val="00D95774"/>
    <w:rsid w:val="00D958D0"/>
    <w:rsid w:val="00D95A44"/>
    <w:rsid w:val="00D95D16"/>
    <w:rsid w:val="00D9654B"/>
    <w:rsid w:val="00D96EC6"/>
    <w:rsid w:val="00D96F2E"/>
    <w:rsid w:val="00D97BA0"/>
    <w:rsid w:val="00D97C76"/>
    <w:rsid w:val="00DA0F63"/>
    <w:rsid w:val="00DA48DB"/>
    <w:rsid w:val="00DA4904"/>
    <w:rsid w:val="00DA49B8"/>
    <w:rsid w:val="00DA5E1C"/>
    <w:rsid w:val="00DA6028"/>
    <w:rsid w:val="00DA65D0"/>
    <w:rsid w:val="00DA6C72"/>
    <w:rsid w:val="00DB02B4"/>
    <w:rsid w:val="00DB04A2"/>
    <w:rsid w:val="00DB0733"/>
    <w:rsid w:val="00DB1116"/>
    <w:rsid w:val="00DB12C1"/>
    <w:rsid w:val="00DB2523"/>
    <w:rsid w:val="00DB3248"/>
    <w:rsid w:val="00DB3FB2"/>
    <w:rsid w:val="00DB452F"/>
    <w:rsid w:val="00DB538D"/>
    <w:rsid w:val="00DB61D5"/>
    <w:rsid w:val="00DB6622"/>
    <w:rsid w:val="00DB6864"/>
    <w:rsid w:val="00DB75DA"/>
    <w:rsid w:val="00DB7953"/>
    <w:rsid w:val="00DC06F6"/>
    <w:rsid w:val="00DC1915"/>
    <w:rsid w:val="00DC1AE1"/>
    <w:rsid w:val="00DC1EDF"/>
    <w:rsid w:val="00DC275C"/>
    <w:rsid w:val="00DC2947"/>
    <w:rsid w:val="00DC2C70"/>
    <w:rsid w:val="00DC3D10"/>
    <w:rsid w:val="00DC4085"/>
    <w:rsid w:val="00DC4396"/>
    <w:rsid w:val="00DC439A"/>
    <w:rsid w:val="00DC480E"/>
    <w:rsid w:val="00DC4B0D"/>
    <w:rsid w:val="00DC5B24"/>
    <w:rsid w:val="00DC7FE1"/>
    <w:rsid w:val="00DD1114"/>
    <w:rsid w:val="00DD2915"/>
    <w:rsid w:val="00DD2BBA"/>
    <w:rsid w:val="00DD3F3F"/>
    <w:rsid w:val="00DD494F"/>
    <w:rsid w:val="00DD5572"/>
    <w:rsid w:val="00DD581C"/>
    <w:rsid w:val="00DD7011"/>
    <w:rsid w:val="00DD766A"/>
    <w:rsid w:val="00DD777B"/>
    <w:rsid w:val="00DE040E"/>
    <w:rsid w:val="00DE0F4F"/>
    <w:rsid w:val="00DE162C"/>
    <w:rsid w:val="00DE1C96"/>
    <w:rsid w:val="00DE2394"/>
    <w:rsid w:val="00DE2485"/>
    <w:rsid w:val="00DE33BE"/>
    <w:rsid w:val="00DE41F4"/>
    <w:rsid w:val="00DE4AAD"/>
    <w:rsid w:val="00DE4AFE"/>
    <w:rsid w:val="00DE4F27"/>
    <w:rsid w:val="00DE58E0"/>
    <w:rsid w:val="00DE5BF1"/>
    <w:rsid w:val="00DE5D80"/>
    <w:rsid w:val="00DE5F2C"/>
    <w:rsid w:val="00DF086B"/>
    <w:rsid w:val="00DF08C4"/>
    <w:rsid w:val="00DF0EDD"/>
    <w:rsid w:val="00DF1B8B"/>
    <w:rsid w:val="00DF1C66"/>
    <w:rsid w:val="00DF2228"/>
    <w:rsid w:val="00DF2344"/>
    <w:rsid w:val="00DF2835"/>
    <w:rsid w:val="00DF31A0"/>
    <w:rsid w:val="00DF3D49"/>
    <w:rsid w:val="00DF3E25"/>
    <w:rsid w:val="00DF4074"/>
    <w:rsid w:val="00DF4414"/>
    <w:rsid w:val="00DF4762"/>
    <w:rsid w:val="00DF47CD"/>
    <w:rsid w:val="00DF493D"/>
    <w:rsid w:val="00DF5114"/>
    <w:rsid w:val="00DF58CD"/>
    <w:rsid w:val="00DF5A8D"/>
    <w:rsid w:val="00DF6168"/>
    <w:rsid w:val="00DF65DE"/>
    <w:rsid w:val="00DF6DB2"/>
    <w:rsid w:val="00DF7913"/>
    <w:rsid w:val="00E0191D"/>
    <w:rsid w:val="00E019A5"/>
    <w:rsid w:val="00E01A4E"/>
    <w:rsid w:val="00E01D9A"/>
    <w:rsid w:val="00E02B00"/>
    <w:rsid w:val="00E02EC8"/>
    <w:rsid w:val="00E037F5"/>
    <w:rsid w:val="00E03C37"/>
    <w:rsid w:val="00E0425D"/>
    <w:rsid w:val="00E049AB"/>
    <w:rsid w:val="00E04B85"/>
    <w:rsid w:val="00E04ECB"/>
    <w:rsid w:val="00E05A09"/>
    <w:rsid w:val="00E06CA1"/>
    <w:rsid w:val="00E07B0E"/>
    <w:rsid w:val="00E10096"/>
    <w:rsid w:val="00E10388"/>
    <w:rsid w:val="00E105CD"/>
    <w:rsid w:val="00E10617"/>
    <w:rsid w:val="00E1097F"/>
    <w:rsid w:val="00E1155E"/>
    <w:rsid w:val="00E11BDA"/>
    <w:rsid w:val="00E12B69"/>
    <w:rsid w:val="00E13535"/>
    <w:rsid w:val="00E1357F"/>
    <w:rsid w:val="00E1462B"/>
    <w:rsid w:val="00E1532D"/>
    <w:rsid w:val="00E15975"/>
    <w:rsid w:val="00E15F1F"/>
    <w:rsid w:val="00E1662E"/>
    <w:rsid w:val="00E172B8"/>
    <w:rsid w:val="00E17880"/>
    <w:rsid w:val="00E17F12"/>
    <w:rsid w:val="00E17FB4"/>
    <w:rsid w:val="00E20488"/>
    <w:rsid w:val="00E20B75"/>
    <w:rsid w:val="00E20EA9"/>
    <w:rsid w:val="00E20FBF"/>
    <w:rsid w:val="00E214F2"/>
    <w:rsid w:val="00E21AFD"/>
    <w:rsid w:val="00E22105"/>
    <w:rsid w:val="00E222B4"/>
    <w:rsid w:val="00E2371E"/>
    <w:rsid w:val="00E24BD7"/>
    <w:rsid w:val="00E256C7"/>
    <w:rsid w:val="00E25A08"/>
    <w:rsid w:val="00E26523"/>
    <w:rsid w:val="00E26809"/>
    <w:rsid w:val="00E2682F"/>
    <w:rsid w:val="00E304AE"/>
    <w:rsid w:val="00E30A21"/>
    <w:rsid w:val="00E3126A"/>
    <w:rsid w:val="00E33300"/>
    <w:rsid w:val="00E336AF"/>
    <w:rsid w:val="00E33E40"/>
    <w:rsid w:val="00E34058"/>
    <w:rsid w:val="00E3412D"/>
    <w:rsid w:val="00E35BF5"/>
    <w:rsid w:val="00E35C80"/>
    <w:rsid w:val="00E362CD"/>
    <w:rsid w:val="00E366BE"/>
    <w:rsid w:val="00E367B6"/>
    <w:rsid w:val="00E36AC1"/>
    <w:rsid w:val="00E36E52"/>
    <w:rsid w:val="00E4071D"/>
    <w:rsid w:val="00E40766"/>
    <w:rsid w:val="00E40B9E"/>
    <w:rsid w:val="00E40DB8"/>
    <w:rsid w:val="00E41299"/>
    <w:rsid w:val="00E42CA4"/>
    <w:rsid w:val="00E44E00"/>
    <w:rsid w:val="00E44E54"/>
    <w:rsid w:val="00E4585A"/>
    <w:rsid w:val="00E45AA6"/>
    <w:rsid w:val="00E45C80"/>
    <w:rsid w:val="00E473E0"/>
    <w:rsid w:val="00E47E31"/>
    <w:rsid w:val="00E50DCD"/>
    <w:rsid w:val="00E51C02"/>
    <w:rsid w:val="00E51C40"/>
    <w:rsid w:val="00E51E8B"/>
    <w:rsid w:val="00E5225D"/>
    <w:rsid w:val="00E52E62"/>
    <w:rsid w:val="00E55CB1"/>
    <w:rsid w:val="00E55CB9"/>
    <w:rsid w:val="00E562F5"/>
    <w:rsid w:val="00E56549"/>
    <w:rsid w:val="00E56896"/>
    <w:rsid w:val="00E57322"/>
    <w:rsid w:val="00E5737E"/>
    <w:rsid w:val="00E57E97"/>
    <w:rsid w:val="00E57FC1"/>
    <w:rsid w:val="00E60715"/>
    <w:rsid w:val="00E60796"/>
    <w:rsid w:val="00E61304"/>
    <w:rsid w:val="00E6172E"/>
    <w:rsid w:val="00E628CB"/>
    <w:rsid w:val="00E62AD9"/>
    <w:rsid w:val="00E638C8"/>
    <w:rsid w:val="00E63DA9"/>
    <w:rsid w:val="00E647E1"/>
    <w:rsid w:val="00E656BA"/>
    <w:rsid w:val="00E656F1"/>
    <w:rsid w:val="00E65CFC"/>
    <w:rsid w:val="00E6662B"/>
    <w:rsid w:val="00E671A5"/>
    <w:rsid w:val="00E672B0"/>
    <w:rsid w:val="00E6737B"/>
    <w:rsid w:val="00E67A4C"/>
    <w:rsid w:val="00E67CE7"/>
    <w:rsid w:val="00E737CD"/>
    <w:rsid w:val="00E7389A"/>
    <w:rsid w:val="00E73DBA"/>
    <w:rsid w:val="00E7418B"/>
    <w:rsid w:val="00E74CF0"/>
    <w:rsid w:val="00E74D56"/>
    <w:rsid w:val="00E7509B"/>
    <w:rsid w:val="00E75952"/>
    <w:rsid w:val="00E760AD"/>
    <w:rsid w:val="00E76E6B"/>
    <w:rsid w:val="00E77EC7"/>
    <w:rsid w:val="00E77EE2"/>
    <w:rsid w:val="00E816A1"/>
    <w:rsid w:val="00E82095"/>
    <w:rsid w:val="00E821B5"/>
    <w:rsid w:val="00E8262B"/>
    <w:rsid w:val="00E82D38"/>
    <w:rsid w:val="00E84168"/>
    <w:rsid w:val="00E8476B"/>
    <w:rsid w:val="00E8520D"/>
    <w:rsid w:val="00E85414"/>
    <w:rsid w:val="00E855C1"/>
    <w:rsid w:val="00E86042"/>
    <w:rsid w:val="00E86590"/>
    <w:rsid w:val="00E868AA"/>
    <w:rsid w:val="00E8798E"/>
    <w:rsid w:val="00E87F16"/>
    <w:rsid w:val="00E907FF"/>
    <w:rsid w:val="00E90963"/>
    <w:rsid w:val="00E90D8C"/>
    <w:rsid w:val="00E916A3"/>
    <w:rsid w:val="00E91B13"/>
    <w:rsid w:val="00E92755"/>
    <w:rsid w:val="00E9296F"/>
    <w:rsid w:val="00E92D1E"/>
    <w:rsid w:val="00E934A4"/>
    <w:rsid w:val="00E93D00"/>
    <w:rsid w:val="00E93D01"/>
    <w:rsid w:val="00E94779"/>
    <w:rsid w:val="00E95BD3"/>
    <w:rsid w:val="00E9673E"/>
    <w:rsid w:val="00E97620"/>
    <w:rsid w:val="00EA006D"/>
    <w:rsid w:val="00EA0222"/>
    <w:rsid w:val="00EA0D22"/>
    <w:rsid w:val="00EA165F"/>
    <w:rsid w:val="00EA184C"/>
    <w:rsid w:val="00EA410B"/>
    <w:rsid w:val="00EA4240"/>
    <w:rsid w:val="00EA42D1"/>
    <w:rsid w:val="00EA42EF"/>
    <w:rsid w:val="00EA460F"/>
    <w:rsid w:val="00EA47E5"/>
    <w:rsid w:val="00EA47FB"/>
    <w:rsid w:val="00EA58C7"/>
    <w:rsid w:val="00EA5BA9"/>
    <w:rsid w:val="00EA6667"/>
    <w:rsid w:val="00EB04A3"/>
    <w:rsid w:val="00EB1A97"/>
    <w:rsid w:val="00EB2DD1"/>
    <w:rsid w:val="00EB4BA4"/>
    <w:rsid w:val="00EB58BD"/>
    <w:rsid w:val="00EB6B37"/>
    <w:rsid w:val="00EB7767"/>
    <w:rsid w:val="00EC0118"/>
    <w:rsid w:val="00EC0571"/>
    <w:rsid w:val="00EC0DCD"/>
    <w:rsid w:val="00EC29FE"/>
    <w:rsid w:val="00EC3C70"/>
    <w:rsid w:val="00EC3E9F"/>
    <w:rsid w:val="00EC4509"/>
    <w:rsid w:val="00EC45B8"/>
    <w:rsid w:val="00EC47FA"/>
    <w:rsid w:val="00EC50C8"/>
    <w:rsid w:val="00EC56AB"/>
    <w:rsid w:val="00EC79C8"/>
    <w:rsid w:val="00ED00D8"/>
    <w:rsid w:val="00ED063A"/>
    <w:rsid w:val="00ED2C7C"/>
    <w:rsid w:val="00ED2FA6"/>
    <w:rsid w:val="00ED30D1"/>
    <w:rsid w:val="00ED3A3D"/>
    <w:rsid w:val="00ED3B18"/>
    <w:rsid w:val="00ED42DB"/>
    <w:rsid w:val="00ED4EED"/>
    <w:rsid w:val="00ED538A"/>
    <w:rsid w:val="00ED619F"/>
    <w:rsid w:val="00ED6CAA"/>
    <w:rsid w:val="00ED6FBC"/>
    <w:rsid w:val="00ED73C7"/>
    <w:rsid w:val="00ED75BE"/>
    <w:rsid w:val="00ED76A3"/>
    <w:rsid w:val="00ED7B04"/>
    <w:rsid w:val="00EE02C8"/>
    <w:rsid w:val="00EE07FA"/>
    <w:rsid w:val="00EE1592"/>
    <w:rsid w:val="00EE1A20"/>
    <w:rsid w:val="00EE21B3"/>
    <w:rsid w:val="00EE28A2"/>
    <w:rsid w:val="00EE2C00"/>
    <w:rsid w:val="00EE2DBE"/>
    <w:rsid w:val="00EE2F16"/>
    <w:rsid w:val="00EE3861"/>
    <w:rsid w:val="00EE446C"/>
    <w:rsid w:val="00EE461E"/>
    <w:rsid w:val="00EE4863"/>
    <w:rsid w:val="00EE568A"/>
    <w:rsid w:val="00EE66C5"/>
    <w:rsid w:val="00EE70BA"/>
    <w:rsid w:val="00EE71DF"/>
    <w:rsid w:val="00EE7611"/>
    <w:rsid w:val="00EE7E91"/>
    <w:rsid w:val="00EF0B3F"/>
    <w:rsid w:val="00EF0B58"/>
    <w:rsid w:val="00EF1144"/>
    <w:rsid w:val="00EF193E"/>
    <w:rsid w:val="00EF1F66"/>
    <w:rsid w:val="00EF20CD"/>
    <w:rsid w:val="00EF2E73"/>
    <w:rsid w:val="00EF2F36"/>
    <w:rsid w:val="00EF4C6E"/>
    <w:rsid w:val="00EF4CF1"/>
    <w:rsid w:val="00EF5D7F"/>
    <w:rsid w:val="00EF6585"/>
    <w:rsid w:val="00EF6DCC"/>
    <w:rsid w:val="00EF7683"/>
    <w:rsid w:val="00EF7A2D"/>
    <w:rsid w:val="00F002D2"/>
    <w:rsid w:val="00F0089B"/>
    <w:rsid w:val="00F025A4"/>
    <w:rsid w:val="00F02693"/>
    <w:rsid w:val="00F02A2C"/>
    <w:rsid w:val="00F030F6"/>
    <w:rsid w:val="00F04954"/>
    <w:rsid w:val="00F04E60"/>
    <w:rsid w:val="00F04F8D"/>
    <w:rsid w:val="00F05F94"/>
    <w:rsid w:val="00F07004"/>
    <w:rsid w:val="00F077B1"/>
    <w:rsid w:val="00F07C66"/>
    <w:rsid w:val="00F106BC"/>
    <w:rsid w:val="00F10AD0"/>
    <w:rsid w:val="00F11174"/>
    <w:rsid w:val="00F114AC"/>
    <w:rsid w:val="00F114FA"/>
    <w:rsid w:val="00F116CC"/>
    <w:rsid w:val="00F11BA7"/>
    <w:rsid w:val="00F12136"/>
    <w:rsid w:val="00F12BC7"/>
    <w:rsid w:val="00F12BD1"/>
    <w:rsid w:val="00F12CC9"/>
    <w:rsid w:val="00F12E91"/>
    <w:rsid w:val="00F13712"/>
    <w:rsid w:val="00F13F71"/>
    <w:rsid w:val="00F14034"/>
    <w:rsid w:val="00F1492B"/>
    <w:rsid w:val="00F15327"/>
    <w:rsid w:val="00F156EC"/>
    <w:rsid w:val="00F15BC2"/>
    <w:rsid w:val="00F15D58"/>
    <w:rsid w:val="00F16453"/>
    <w:rsid w:val="00F168CF"/>
    <w:rsid w:val="00F17B01"/>
    <w:rsid w:val="00F17DB1"/>
    <w:rsid w:val="00F20744"/>
    <w:rsid w:val="00F222DE"/>
    <w:rsid w:val="00F22990"/>
    <w:rsid w:val="00F22BA0"/>
    <w:rsid w:val="00F237A1"/>
    <w:rsid w:val="00F2438E"/>
    <w:rsid w:val="00F24A4C"/>
    <w:rsid w:val="00F2555C"/>
    <w:rsid w:val="00F264B7"/>
    <w:rsid w:val="00F265D5"/>
    <w:rsid w:val="00F26F29"/>
    <w:rsid w:val="00F278A4"/>
    <w:rsid w:val="00F27FCB"/>
    <w:rsid w:val="00F30681"/>
    <w:rsid w:val="00F3095E"/>
    <w:rsid w:val="00F31DF3"/>
    <w:rsid w:val="00F31F15"/>
    <w:rsid w:val="00F32162"/>
    <w:rsid w:val="00F33AE5"/>
    <w:rsid w:val="00F33D58"/>
    <w:rsid w:val="00F33E48"/>
    <w:rsid w:val="00F33ED6"/>
    <w:rsid w:val="00F34245"/>
    <w:rsid w:val="00F3458D"/>
    <w:rsid w:val="00F34FD8"/>
    <w:rsid w:val="00F3597D"/>
    <w:rsid w:val="00F36DD4"/>
    <w:rsid w:val="00F374AE"/>
    <w:rsid w:val="00F37A96"/>
    <w:rsid w:val="00F40492"/>
    <w:rsid w:val="00F40C04"/>
    <w:rsid w:val="00F418A0"/>
    <w:rsid w:val="00F41E19"/>
    <w:rsid w:val="00F42594"/>
    <w:rsid w:val="00F43174"/>
    <w:rsid w:val="00F4376D"/>
    <w:rsid w:val="00F43B4E"/>
    <w:rsid w:val="00F43D29"/>
    <w:rsid w:val="00F43F6E"/>
    <w:rsid w:val="00F44DB6"/>
    <w:rsid w:val="00F45399"/>
    <w:rsid w:val="00F454EE"/>
    <w:rsid w:val="00F465EA"/>
    <w:rsid w:val="00F4724C"/>
    <w:rsid w:val="00F47CB2"/>
    <w:rsid w:val="00F50B09"/>
    <w:rsid w:val="00F50C7E"/>
    <w:rsid w:val="00F51DEC"/>
    <w:rsid w:val="00F5218B"/>
    <w:rsid w:val="00F53727"/>
    <w:rsid w:val="00F5391D"/>
    <w:rsid w:val="00F54E7B"/>
    <w:rsid w:val="00F55A88"/>
    <w:rsid w:val="00F56C30"/>
    <w:rsid w:val="00F56F10"/>
    <w:rsid w:val="00F577B4"/>
    <w:rsid w:val="00F615DF"/>
    <w:rsid w:val="00F61EB7"/>
    <w:rsid w:val="00F61F86"/>
    <w:rsid w:val="00F64812"/>
    <w:rsid w:val="00F651F2"/>
    <w:rsid w:val="00F65675"/>
    <w:rsid w:val="00F65A53"/>
    <w:rsid w:val="00F668FD"/>
    <w:rsid w:val="00F704C2"/>
    <w:rsid w:val="00F70A28"/>
    <w:rsid w:val="00F71496"/>
    <w:rsid w:val="00F72672"/>
    <w:rsid w:val="00F728D0"/>
    <w:rsid w:val="00F72BC6"/>
    <w:rsid w:val="00F74005"/>
    <w:rsid w:val="00F749D1"/>
    <w:rsid w:val="00F755B0"/>
    <w:rsid w:val="00F75B7B"/>
    <w:rsid w:val="00F75E4C"/>
    <w:rsid w:val="00F76031"/>
    <w:rsid w:val="00F7657F"/>
    <w:rsid w:val="00F76884"/>
    <w:rsid w:val="00F8010B"/>
    <w:rsid w:val="00F80A42"/>
    <w:rsid w:val="00F80BF7"/>
    <w:rsid w:val="00F815A2"/>
    <w:rsid w:val="00F82174"/>
    <w:rsid w:val="00F83BE8"/>
    <w:rsid w:val="00F83D24"/>
    <w:rsid w:val="00F83DD9"/>
    <w:rsid w:val="00F83F40"/>
    <w:rsid w:val="00F84B95"/>
    <w:rsid w:val="00F8649C"/>
    <w:rsid w:val="00F86F1C"/>
    <w:rsid w:val="00F87C53"/>
    <w:rsid w:val="00F907A3"/>
    <w:rsid w:val="00F90C0A"/>
    <w:rsid w:val="00F913B2"/>
    <w:rsid w:val="00F91F8D"/>
    <w:rsid w:val="00F920CE"/>
    <w:rsid w:val="00F922F5"/>
    <w:rsid w:val="00F92C67"/>
    <w:rsid w:val="00F937C1"/>
    <w:rsid w:val="00F93C56"/>
    <w:rsid w:val="00F93D7F"/>
    <w:rsid w:val="00F941B4"/>
    <w:rsid w:val="00F94C31"/>
    <w:rsid w:val="00F94D17"/>
    <w:rsid w:val="00F95B42"/>
    <w:rsid w:val="00F96C09"/>
    <w:rsid w:val="00F9721C"/>
    <w:rsid w:val="00FA0062"/>
    <w:rsid w:val="00FA117A"/>
    <w:rsid w:val="00FA1E56"/>
    <w:rsid w:val="00FA2476"/>
    <w:rsid w:val="00FA2F60"/>
    <w:rsid w:val="00FA34F1"/>
    <w:rsid w:val="00FA38D2"/>
    <w:rsid w:val="00FA38E6"/>
    <w:rsid w:val="00FA4EFF"/>
    <w:rsid w:val="00FA592C"/>
    <w:rsid w:val="00FA5A61"/>
    <w:rsid w:val="00FA5CBC"/>
    <w:rsid w:val="00FA6899"/>
    <w:rsid w:val="00FA6CA8"/>
    <w:rsid w:val="00FA707F"/>
    <w:rsid w:val="00FA72BB"/>
    <w:rsid w:val="00FA78EE"/>
    <w:rsid w:val="00FA7ABF"/>
    <w:rsid w:val="00FB1205"/>
    <w:rsid w:val="00FB1833"/>
    <w:rsid w:val="00FB2B86"/>
    <w:rsid w:val="00FB379D"/>
    <w:rsid w:val="00FB386A"/>
    <w:rsid w:val="00FB5B2A"/>
    <w:rsid w:val="00FB7CC4"/>
    <w:rsid w:val="00FB7D63"/>
    <w:rsid w:val="00FC0118"/>
    <w:rsid w:val="00FC0786"/>
    <w:rsid w:val="00FC17E8"/>
    <w:rsid w:val="00FC1AE3"/>
    <w:rsid w:val="00FC1CC5"/>
    <w:rsid w:val="00FC2344"/>
    <w:rsid w:val="00FC280A"/>
    <w:rsid w:val="00FC2D30"/>
    <w:rsid w:val="00FC3C0E"/>
    <w:rsid w:val="00FC442C"/>
    <w:rsid w:val="00FC49EF"/>
    <w:rsid w:val="00FC65A7"/>
    <w:rsid w:val="00FC7BE1"/>
    <w:rsid w:val="00FD01D3"/>
    <w:rsid w:val="00FD2757"/>
    <w:rsid w:val="00FD32F4"/>
    <w:rsid w:val="00FD38E5"/>
    <w:rsid w:val="00FD402F"/>
    <w:rsid w:val="00FD4521"/>
    <w:rsid w:val="00FD463D"/>
    <w:rsid w:val="00FD5BA9"/>
    <w:rsid w:val="00FD5C53"/>
    <w:rsid w:val="00FD5DD1"/>
    <w:rsid w:val="00FD6C2E"/>
    <w:rsid w:val="00FD6D85"/>
    <w:rsid w:val="00FD6E17"/>
    <w:rsid w:val="00FE0A29"/>
    <w:rsid w:val="00FE0DA1"/>
    <w:rsid w:val="00FE0E45"/>
    <w:rsid w:val="00FE1E9D"/>
    <w:rsid w:val="00FE1FA9"/>
    <w:rsid w:val="00FE26DB"/>
    <w:rsid w:val="00FE2D03"/>
    <w:rsid w:val="00FE2E4C"/>
    <w:rsid w:val="00FE3127"/>
    <w:rsid w:val="00FE36E2"/>
    <w:rsid w:val="00FE3A4C"/>
    <w:rsid w:val="00FE5A3C"/>
    <w:rsid w:val="00FE7259"/>
    <w:rsid w:val="00FE7AF5"/>
    <w:rsid w:val="00FE7DF4"/>
    <w:rsid w:val="00FF09ED"/>
    <w:rsid w:val="00FF0F92"/>
    <w:rsid w:val="00FF11AD"/>
    <w:rsid w:val="00FF13AF"/>
    <w:rsid w:val="00FF23BB"/>
    <w:rsid w:val="00FF24EE"/>
    <w:rsid w:val="00FF2971"/>
    <w:rsid w:val="00FF2D00"/>
    <w:rsid w:val="00FF30F2"/>
    <w:rsid w:val="00FF34D4"/>
    <w:rsid w:val="00FF3F42"/>
    <w:rsid w:val="00FF4A35"/>
    <w:rsid w:val="00FF4F8F"/>
    <w:rsid w:val="00FF50C0"/>
    <w:rsid w:val="00FF6B79"/>
    <w:rsid w:val="00FF76E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39CF"/>
  <w15:docId w15:val="{E7630F52-DAF8-4A58-8780-3365E9A6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A811CB"/>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unhideWhenUsed/>
    <w:qFormat/>
    <w:rsid w:val="00A17CB2"/>
    <w:rPr>
      <w:sz w:val="16"/>
      <w:szCs w:val="16"/>
    </w:rPr>
  </w:style>
  <w:style w:type="paragraph" w:styleId="Tekstkomentarza">
    <w:name w:val="annotation text"/>
    <w:basedOn w:val="Normalny"/>
    <w:link w:val="TekstkomentarzaZnak"/>
    <w:uiPriority w:val="99"/>
    <w:unhideWhenUsed/>
    <w:qFormat/>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unhideWhenUsed/>
    <w:rsid w:val="00C047A7"/>
    <w:rPr>
      <w:sz w:val="20"/>
      <w:szCs w:val="20"/>
    </w:rPr>
  </w:style>
  <w:style w:type="character" w:customStyle="1" w:styleId="TekstprzypisudolnegoZnak">
    <w:name w:val="Tekst przypisu dolnego Znak"/>
    <w:link w:val="Tekstprzypisudolnego"/>
    <w:uiPriority w:val="99"/>
    <w:rsid w:val="00C047A7"/>
    <w:rPr>
      <w:lang w:eastAsia="en-US"/>
    </w:rPr>
  </w:style>
  <w:style w:type="character" w:styleId="Odwoanieprzypisudolnego">
    <w:name w:val="footnote reference"/>
    <w:uiPriority w:val="99"/>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highlight">
    <w:name w:val="highlight"/>
    <w:rsid w:val="00301207"/>
  </w:style>
  <w:style w:type="paragraph" w:customStyle="1" w:styleId="nieartteksttekstnieartykuowanynppreambua">
    <w:name w:val="nieartteksttekstnieartykuowanynppreambua"/>
    <w:basedOn w:val="Normalny"/>
    <w:qFormat/>
    <w:rsid w:val="00AC049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IEARTTEKSTtekstnieartykuowanynppreambua0">
    <w:name w:val="NIEART_TEKST – tekst nieartykułowany (np. preambuła)"/>
    <w:basedOn w:val="Normalny"/>
    <w:next w:val="Normalny"/>
    <w:link w:val="NIEARTTEKSTtekstnieartykuowanynppreambuaZnak"/>
    <w:qFormat/>
    <w:rsid w:val="00AC0498"/>
    <w:pPr>
      <w:suppressAutoHyphens/>
      <w:autoSpaceDE w:val="0"/>
      <w:autoSpaceDN w:val="0"/>
      <w:adjustRightInd w:val="0"/>
      <w:spacing w:before="120" w:line="360" w:lineRule="auto"/>
      <w:ind w:firstLine="510"/>
      <w:jc w:val="both"/>
    </w:pPr>
    <w:rPr>
      <w:rFonts w:ascii="Times" w:eastAsia="Times New Roman" w:hAnsi="Times" w:cs="Times"/>
      <w:sz w:val="24"/>
      <w:szCs w:val="20"/>
      <w:lang w:eastAsia="pl-PL"/>
    </w:rPr>
  </w:style>
  <w:style w:type="character" w:customStyle="1" w:styleId="NIEARTTEKSTtekstnieartykuowanynppreambuaZnak">
    <w:name w:val="NIEART_TEKST – tekst nieartykułowany (np. preambuła) Znak"/>
    <w:link w:val="NIEARTTEKSTtekstnieartykuowanynppreambua0"/>
    <w:locked/>
    <w:rsid w:val="00AC0498"/>
    <w:rPr>
      <w:rFonts w:ascii="Times" w:eastAsia="Times New Roman" w:hAnsi="Times" w:cs="Times"/>
      <w:sz w:val="24"/>
    </w:rPr>
  </w:style>
  <w:style w:type="character" w:customStyle="1" w:styleId="Nierozpoznanawzmianka1">
    <w:name w:val="Nierozpoznana wzmianka1"/>
    <w:uiPriority w:val="99"/>
    <w:semiHidden/>
    <w:unhideWhenUsed/>
    <w:rsid w:val="00DC1915"/>
    <w:rPr>
      <w:color w:val="605E5C"/>
      <w:shd w:val="clear" w:color="auto" w:fill="E1DFDD"/>
    </w:rPr>
  </w:style>
  <w:style w:type="paragraph" w:styleId="NormalnyWeb">
    <w:name w:val="Normal (Web)"/>
    <w:basedOn w:val="Normalny"/>
    <w:uiPriority w:val="99"/>
    <w:unhideWhenUsed/>
    <w:rsid w:val="0078511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locked/>
    <w:rsid w:val="00785115"/>
    <w:rPr>
      <w:b/>
      <w:bCs/>
    </w:rPr>
  </w:style>
  <w:style w:type="paragraph" w:customStyle="1" w:styleId="Default">
    <w:name w:val="Default"/>
    <w:rsid w:val="00881751"/>
    <w:pPr>
      <w:autoSpaceDE w:val="0"/>
      <w:autoSpaceDN w:val="0"/>
      <w:adjustRightInd w:val="0"/>
    </w:pPr>
    <w:rPr>
      <w:rFonts w:ascii="Century Gothic" w:hAnsi="Century Gothic" w:cs="Century Gothic"/>
      <w:color w:val="000000"/>
      <w:sz w:val="24"/>
      <w:szCs w:val="24"/>
    </w:rPr>
  </w:style>
  <w:style w:type="paragraph" w:customStyle="1" w:styleId="rtejustify">
    <w:name w:val="rtejustify"/>
    <w:basedOn w:val="Normalny"/>
    <w:rsid w:val="00AA0F5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jlqj4b">
    <w:name w:val="jlqj4b"/>
    <w:rsid w:val="00AA0F5D"/>
  </w:style>
  <w:style w:type="paragraph" w:styleId="Poprawka">
    <w:name w:val="Revision"/>
    <w:hidden/>
    <w:uiPriority w:val="99"/>
    <w:semiHidden/>
    <w:rsid w:val="009D3942"/>
    <w:rPr>
      <w:sz w:val="22"/>
      <w:szCs w:val="22"/>
      <w:lang w:eastAsia="en-US"/>
    </w:rPr>
  </w:style>
  <w:style w:type="character" w:customStyle="1" w:styleId="TekstkomentarzaZnak2">
    <w:name w:val="Tekst komentarza Znak2"/>
    <w:uiPriority w:val="99"/>
    <w:semiHidden/>
    <w:rsid w:val="005D24A9"/>
    <w:rPr>
      <w:rFonts w:ascii="Calibri" w:eastAsia="Calibri" w:hAnsi="Calibri" w:cs="Mangal"/>
      <w:kern w:val="1"/>
      <w:szCs w:val="18"/>
      <w:lang w:eastAsia="hi-IN" w:bidi="hi-IN"/>
    </w:rPr>
  </w:style>
  <w:style w:type="character" w:customStyle="1" w:styleId="Nagwek2Znak">
    <w:name w:val="Nagłówek 2 Znak"/>
    <w:link w:val="Nagwek2"/>
    <w:semiHidden/>
    <w:rsid w:val="00A811CB"/>
    <w:rPr>
      <w:rFonts w:ascii="Calibri Light" w:eastAsia="Times New Roman" w:hAnsi="Calibri Light" w:cs="Times New Roman"/>
      <w:b/>
      <w:bCs/>
      <w:i/>
      <w:iCs/>
      <w:sz w:val="28"/>
      <w:szCs w:val="28"/>
      <w:lang w:eastAsia="en-US"/>
    </w:rPr>
  </w:style>
  <w:style w:type="character" w:customStyle="1" w:styleId="lead">
    <w:name w:val="lead"/>
    <w:basedOn w:val="Domylnaczcionkaakapitu"/>
    <w:rsid w:val="006A7BAC"/>
  </w:style>
  <w:style w:type="paragraph" w:customStyle="1" w:styleId="Tekstakapitw">
    <w:name w:val="Tekst akapitów"/>
    <w:basedOn w:val="Normalny"/>
    <w:link w:val="TekstakapitwZnak"/>
    <w:qFormat/>
    <w:rsid w:val="00FF76EB"/>
    <w:pPr>
      <w:spacing w:before="240" w:line="360" w:lineRule="auto"/>
      <w:ind w:firstLine="709"/>
      <w:jc w:val="both"/>
    </w:pPr>
    <w:rPr>
      <w:rFonts w:ascii="Calibri Light" w:eastAsia="Times New Roman" w:hAnsi="Calibri Light"/>
      <w:szCs w:val="20"/>
      <w:lang w:eastAsia="en-GB"/>
    </w:rPr>
  </w:style>
  <w:style w:type="character" w:customStyle="1" w:styleId="TekstakapitwZnak">
    <w:name w:val="Tekst akapitów Znak"/>
    <w:link w:val="Tekstakapitw"/>
    <w:rsid w:val="00FF76EB"/>
    <w:rPr>
      <w:rFonts w:ascii="Calibri Light" w:eastAsia="Times New Roman" w:hAnsi="Calibri Light"/>
      <w:sz w:val="22"/>
      <w:lang w:eastAsia="en-GB"/>
    </w:rPr>
  </w:style>
  <w:style w:type="paragraph" w:customStyle="1" w:styleId="Punkty">
    <w:name w:val="Punkty"/>
    <w:basedOn w:val="Normalny"/>
    <w:link w:val="PunktyZnak"/>
    <w:qFormat/>
    <w:rsid w:val="00FF76EB"/>
    <w:pPr>
      <w:numPr>
        <w:numId w:val="3"/>
      </w:numPr>
      <w:spacing w:line="360" w:lineRule="auto"/>
      <w:ind w:left="851" w:hanging="425"/>
      <w:jc w:val="both"/>
    </w:pPr>
    <w:rPr>
      <w:rFonts w:ascii="Calibri Light" w:eastAsia="Times New Roman" w:hAnsi="Calibri Light" w:cs="Calibri Light"/>
      <w:szCs w:val="20"/>
      <w:lang w:eastAsia="en-GB"/>
    </w:rPr>
  </w:style>
  <w:style w:type="character" w:customStyle="1" w:styleId="PunktyZnak">
    <w:name w:val="Punkty Znak"/>
    <w:link w:val="Punkty"/>
    <w:rsid w:val="00FF76EB"/>
    <w:rPr>
      <w:rFonts w:ascii="Calibri Light" w:eastAsia="Times New Roman" w:hAnsi="Calibri Light" w:cs="Calibri Light"/>
      <w:sz w:val="22"/>
      <w:lang w:eastAsia="en-GB"/>
    </w:rPr>
  </w:style>
  <w:style w:type="paragraph" w:customStyle="1" w:styleId="Przypisdolny">
    <w:name w:val="Przypis dolny"/>
    <w:basedOn w:val="Tekstprzypisudolnego"/>
    <w:link w:val="PrzypisdolnyZnak"/>
    <w:qFormat/>
    <w:rsid w:val="00FF76EB"/>
    <w:pPr>
      <w:spacing w:line="240" w:lineRule="auto"/>
      <w:jc w:val="both"/>
    </w:pPr>
    <w:rPr>
      <w:rFonts w:ascii="Calibri Light" w:eastAsia="Times New Roman" w:hAnsi="Calibri Light" w:cs="Calibri Light"/>
      <w:sz w:val="18"/>
      <w:lang w:eastAsia="pl-PL"/>
    </w:rPr>
  </w:style>
  <w:style w:type="character" w:customStyle="1" w:styleId="PrzypisdolnyZnak">
    <w:name w:val="Przypis dolny Znak"/>
    <w:link w:val="Przypisdolny"/>
    <w:rsid w:val="00FF76EB"/>
    <w:rPr>
      <w:rFonts w:ascii="Calibri Light" w:eastAsia="Times New Roman" w:hAnsi="Calibri Light" w:cs="Calibri Light"/>
      <w:sz w:val="18"/>
    </w:rPr>
  </w:style>
  <w:style w:type="character" w:styleId="Uwydatnienie">
    <w:name w:val="Emphasis"/>
    <w:uiPriority w:val="20"/>
    <w:qFormat/>
    <w:locked/>
    <w:rsid w:val="0091791B"/>
    <w:rPr>
      <w:i/>
      <w:iCs/>
    </w:rPr>
  </w:style>
  <w:style w:type="character" w:customStyle="1" w:styleId="cf01">
    <w:name w:val="cf01"/>
    <w:rsid w:val="00AD7FA8"/>
    <w:rPr>
      <w:rFonts w:ascii="Segoe UI" w:hAnsi="Segoe UI" w:cs="Segoe UI" w:hint="default"/>
      <w:i/>
      <w:iCs/>
      <w:sz w:val="18"/>
      <w:szCs w:val="18"/>
    </w:rPr>
  </w:style>
  <w:style w:type="paragraph" w:customStyle="1" w:styleId="pf0">
    <w:name w:val="pf0"/>
    <w:basedOn w:val="Normalny"/>
    <w:rsid w:val="00AD7FA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ierozpoznanawzmianka2">
    <w:name w:val="Nierozpoznana wzmianka2"/>
    <w:basedOn w:val="Domylnaczcionkaakapitu"/>
    <w:uiPriority w:val="99"/>
    <w:semiHidden/>
    <w:unhideWhenUsed/>
    <w:rsid w:val="00E50DCD"/>
    <w:rPr>
      <w:color w:val="605E5C"/>
      <w:shd w:val="clear" w:color="auto" w:fill="E1DFDD"/>
    </w:rPr>
  </w:style>
  <w:style w:type="character" w:styleId="Tekstzastpczy">
    <w:name w:val="Placeholder Text"/>
    <w:basedOn w:val="Domylnaczcionkaakapitu"/>
    <w:uiPriority w:val="99"/>
    <w:semiHidden/>
    <w:rsid w:val="007808BC"/>
    <w:rPr>
      <w:color w:val="808080"/>
    </w:rPr>
  </w:style>
  <w:style w:type="paragraph" w:styleId="Tekstpodstawowy">
    <w:name w:val="Body Text"/>
    <w:basedOn w:val="Normalny"/>
    <w:link w:val="TekstpodstawowyZnak"/>
    <w:uiPriority w:val="99"/>
    <w:semiHidden/>
    <w:rsid w:val="00E47E31"/>
    <w:pPr>
      <w:spacing w:after="120"/>
    </w:pPr>
  </w:style>
  <w:style w:type="character" w:customStyle="1" w:styleId="TekstpodstawowyZnak">
    <w:name w:val="Tekst podstawowy Znak"/>
    <w:basedOn w:val="Domylnaczcionkaakapitu"/>
    <w:link w:val="Tekstpodstawowy"/>
    <w:uiPriority w:val="99"/>
    <w:semiHidden/>
    <w:rsid w:val="00E47E31"/>
    <w:rPr>
      <w:sz w:val="22"/>
      <w:szCs w:val="22"/>
      <w:lang w:eastAsia="en-US"/>
    </w:rPr>
  </w:style>
  <w:style w:type="paragraph" w:customStyle="1" w:styleId="ZUSTzmustartykuempunktem">
    <w:name w:val="Z/UST(§) – zm. ust. (§) artykułem (punktem)"/>
    <w:basedOn w:val="Normalny"/>
    <w:uiPriority w:val="30"/>
    <w:qFormat/>
    <w:rsid w:val="00DB75DA"/>
    <w:pPr>
      <w:suppressAutoHyphens/>
      <w:autoSpaceDE w:val="0"/>
      <w:autoSpaceDN w:val="0"/>
      <w:adjustRightInd w:val="0"/>
      <w:spacing w:line="360" w:lineRule="auto"/>
      <w:ind w:left="510" w:firstLine="510"/>
      <w:jc w:val="both"/>
    </w:pPr>
    <w:rPr>
      <w:rFonts w:ascii="Times" w:eastAsia="Times New Roman" w:hAnsi="Times" w:cs="Arial"/>
      <w:sz w:val="24"/>
      <w:szCs w:val="20"/>
      <w:lang w:eastAsia="pl-PL"/>
    </w:rPr>
  </w:style>
  <w:style w:type="character" w:customStyle="1" w:styleId="articletitle">
    <w:name w:val="articletitle"/>
    <w:basedOn w:val="Domylnaczcionkaakapitu"/>
    <w:rsid w:val="00DB75DA"/>
  </w:style>
  <w:style w:type="paragraph" w:styleId="Bezodstpw">
    <w:name w:val="No Spacing"/>
    <w:uiPriority w:val="1"/>
    <w:qFormat/>
    <w:rsid w:val="00DB75DA"/>
    <w:rPr>
      <w:sz w:val="22"/>
      <w:szCs w:val="22"/>
      <w:lang w:eastAsia="en-US"/>
    </w:rPr>
  </w:style>
  <w:style w:type="character" w:customStyle="1" w:styleId="Nierozpoznanawzmianka3">
    <w:name w:val="Nierozpoznana wzmianka3"/>
    <w:basedOn w:val="Domylnaczcionkaakapitu"/>
    <w:uiPriority w:val="99"/>
    <w:semiHidden/>
    <w:unhideWhenUsed/>
    <w:rsid w:val="003C647E"/>
    <w:rPr>
      <w:color w:val="605E5C"/>
      <w:shd w:val="clear" w:color="auto" w:fill="E1DFDD"/>
    </w:rPr>
  </w:style>
  <w:style w:type="character" w:styleId="Nierozpoznanawzmianka">
    <w:name w:val="Unresolved Mention"/>
    <w:basedOn w:val="Domylnaczcionkaakapitu"/>
    <w:uiPriority w:val="99"/>
    <w:semiHidden/>
    <w:unhideWhenUsed/>
    <w:rsid w:val="003D76C2"/>
    <w:rPr>
      <w:color w:val="605E5C"/>
      <w:shd w:val="clear" w:color="auto" w:fill="E1DFDD"/>
    </w:rPr>
  </w:style>
  <w:style w:type="paragraph" w:customStyle="1" w:styleId="Style1">
    <w:name w:val="Style 1"/>
    <w:rsid w:val="005A56C3"/>
    <w:pPr>
      <w:widowControl w:val="0"/>
      <w:autoSpaceDE w:val="0"/>
      <w:autoSpaceDN w:val="0"/>
      <w:adjustRightIn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229">
      <w:bodyDiv w:val="1"/>
      <w:marLeft w:val="0"/>
      <w:marRight w:val="0"/>
      <w:marTop w:val="0"/>
      <w:marBottom w:val="0"/>
      <w:divBdr>
        <w:top w:val="none" w:sz="0" w:space="0" w:color="auto"/>
        <w:left w:val="none" w:sz="0" w:space="0" w:color="auto"/>
        <w:bottom w:val="none" w:sz="0" w:space="0" w:color="auto"/>
        <w:right w:val="none" w:sz="0" w:space="0" w:color="auto"/>
      </w:divBdr>
    </w:div>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41105135">
      <w:bodyDiv w:val="1"/>
      <w:marLeft w:val="0"/>
      <w:marRight w:val="0"/>
      <w:marTop w:val="0"/>
      <w:marBottom w:val="0"/>
      <w:divBdr>
        <w:top w:val="none" w:sz="0" w:space="0" w:color="auto"/>
        <w:left w:val="none" w:sz="0" w:space="0" w:color="auto"/>
        <w:bottom w:val="none" w:sz="0" w:space="0" w:color="auto"/>
        <w:right w:val="none" w:sz="0" w:space="0" w:color="auto"/>
      </w:divBdr>
    </w:div>
    <w:div w:id="42488357">
      <w:bodyDiv w:val="1"/>
      <w:marLeft w:val="0"/>
      <w:marRight w:val="0"/>
      <w:marTop w:val="0"/>
      <w:marBottom w:val="0"/>
      <w:divBdr>
        <w:top w:val="none" w:sz="0" w:space="0" w:color="auto"/>
        <w:left w:val="none" w:sz="0" w:space="0" w:color="auto"/>
        <w:bottom w:val="none" w:sz="0" w:space="0" w:color="auto"/>
        <w:right w:val="none" w:sz="0" w:space="0" w:color="auto"/>
      </w:divBdr>
    </w:div>
    <w:div w:id="49958819">
      <w:bodyDiv w:val="1"/>
      <w:marLeft w:val="0"/>
      <w:marRight w:val="0"/>
      <w:marTop w:val="0"/>
      <w:marBottom w:val="0"/>
      <w:divBdr>
        <w:top w:val="none" w:sz="0" w:space="0" w:color="auto"/>
        <w:left w:val="none" w:sz="0" w:space="0" w:color="auto"/>
        <w:bottom w:val="none" w:sz="0" w:space="0" w:color="auto"/>
        <w:right w:val="none" w:sz="0" w:space="0" w:color="auto"/>
      </w:divBdr>
    </w:div>
    <w:div w:id="132022193">
      <w:bodyDiv w:val="1"/>
      <w:marLeft w:val="0"/>
      <w:marRight w:val="0"/>
      <w:marTop w:val="0"/>
      <w:marBottom w:val="0"/>
      <w:divBdr>
        <w:top w:val="none" w:sz="0" w:space="0" w:color="auto"/>
        <w:left w:val="none" w:sz="0" w:space="0" w:color="auto"/>
        <w:bottom w:val="none" w:sz="0" w:space="0" w:color="auto"/>
        <w:right w:val="none" w:sz="0" w:space="0" w:color="auto"/>
      </w:divBdr>
    </w:div>
    <w:div w:id="138614927">
      <w:bodyDiv w:val="1"/>
      <w:marLeft w:val="0"/>
      <w:marRight w:val="0"/>
      <w:marTop w:val="0"/>
      <w:marBottom w:val="0"/>
      <w:divBdr>
        <w:top w:val="none" w:sz="0" w:space="0" w:color="auto"/>
        <w:left w:val="none" w:sz="0" w:space="0" w:color="auto"/>
        <w:bottom w:val="none" w:sz="0" w:space="0" w:color="auto"/>
        <w:right w:val="none" w:sz="0" w:space="0" w:color="auto"/>
      </w:divBdr>
    </w:div>
    <w:div w:id="139539347">
      <w:bodyDiv w:val="1"/>
      <w:marLeft w:val="0"/>
      <w:marRight w:val="0"/>
      <w:marTop w:val="0"/>
      <w:marBottom w:val="0"/>
      <w:divBdr>
        <w:top w:val="none" w:sz="0" w:space="0" w:color="auto"/>
        <w:left w:val="none" w:sz="0" w:space="0" w:color="auto"/>
        <w:bottom w:val="none" w:sz="0" w:space="0" w:color="auto"/>
        <w:right w:val="none" w:sz="0" w:space="0" w:color="auto"/>
      </w:divBdr>
    </w:div>
    <w:div w:id="140970948">
      <w:bodyDiv w:val="1"/>
      <w:marLeft w:val="0"/>
      <w:marRight w:val="0"/>
      <w:marTop w:val="0"/>
      <w:marBottom w:val="0"/>
      <w:divBdr>
        <w:top w:val="none" w:sz="0" w:space="0" w:color="auto"/>
        <w:left w:val="none" w:sz="0" w:space="0" w:color="auto"/>
        <w:bottom w:val="none" w:sz="0" w:space="0" w:color="auto"/>
        <w:right w:val="none" w:sz="0" w:space="0" w:color="auto"/>
      </w:divBdr>
    </w:div>
    <w:div w:id="159395964">
      <w:bodyDiv w:val="1"/>
      <w:marLeft w:val="0"/>
      <w:marRight w:val="0"/>
      <w:marTop w:val="0"/>
      <w:marBottom w:val="0"/>
      <w:divBdr>
        <w:top w:val="none" w:sz="0" w:space="0" w:color="auto"/>
        <w:left w:val="none" w:sz="0" w:space="0" w:color="auto"/>
        <w:bottom w:val="none" w:sz="0" w:space="0" w:color="auto"/>
        <w:right w:val="none" w:sz="0" w:space="0" w:color="auto"/>
      </w:divBdr>
    </w:div>
    <w:div w:id="167065604">
      <w:bodyDiv w:val="1"/>
      <w:marLeft w:val="0"/>
      <w:marRight w:val="0"/>
      <w:marTop w:val="0"/>
      <w:marBottom w:val="0"/>
      <w:divBdr>
        <w:top w:val="none" w:sz="0" w:space="0" w:color="auto"/>
        <w:left w:val="none" w:sz="0" w:space="0" w:color="auto"/>
        <w:bottom w:val="none" w:sz="0" w:space="0" w:color="auto"/>
        <w:right w:val="none" w:sz="0" w:space="0" w:color="auto"/>
      </w:divBdr>
    </w:div>
    <w:div w:id="172767271">
      <w:bodyDiv w:val="1"/>
      <w:marLeft w:val="0"/>
      <w:marRight w:val="0"/>
      <w:marTop w:val="0"/>
      <w:marBottom w:val="0"/>
      <w:divBdr>
        <w:top w:val="none" w:sz="0" w:space="0" w:color="auto"/>
        <w:left w:val="none" w:sz="0" w:space="0" w:color="auto"/>
        <w:bottom w:val="none" w:sz="0" w:space="0" w:color="auto"/>
        <w:right w:val="none" w:sz="0" w:space="0" w:color="auto"/>
      </w:divBdr>
    </w:div>
    <w:div w:id="186456917">
      <w:bodyDiv w:val="1"/>
      <w:marLeft w:val="0"/>
      <w:marRight w:val="0"/>
      <w:marTop w:val="0"/>
      <w:marBottom w:val="0"/>
      <w:divBdr>
        <w:top w:val="none" w:sz="0" w:space="0" w:color="auto"/>
        <w:left w:val="none" w:sz="0" w:space="0" w:color="auto"/>
        <w:bottom w:val="none" w:sz="0" w:space="0" w:color="auto"/>
        <w:right w:val="none" w:sz="0" w:space="0" w:color="auto"/>
      </w:divBdr>
    </w:div>
    <w:div w:id="197664752">
      <w:bodyDiv w:val="1"/>
      <w:marLeft w:val="0"/>
      <w:marRight w:val="0"/>
      <w:marTop w:val="0"/>
      <w:marBottom w:val="0"/>
      <w:divBdr>
        <w:top w:val="none" w:sz="0" w:space="0" w:color="auto"/>
        <w:left w:val="none" w:sz="0" w:space="0" w:color="auto"/>
        <w:bottom w:val="none" w:sz="0" w:space="0" w:color="auto"/>
        <w:right w:val="none" w:sz="0" w:space="0" w:color="auto"/>
      </w:divBdr>
      <w:divsChild>
        <w:div w:id="1007951114">
          <w:marLeft w:val="0"/>
          <w:marRight w:val="0"/>
          <w:marTop w:val="0"/>
          <w:marBottom w:val="0"/>
          <w:divBdr>
            <w:top w:val="none" w:sz="0" w:space="0" w:color="auto"/>
            <w:left w:val="none" w:sz="0" w:space="0" w:color="auto"/>
            <w:bottom w:val="none" w:sz="0" w:space="0" w:color="auto"/>
            <w:right w:val="none" w:sz="0" w:space="0" w:color="auto"/>
          </w:divBdr>
        </w:div>
        <w:div w:id="1898861202">
          <w:marLeft w:val="0"/>
          <w:marRight w:val="0"/>
          <w:marTop w:val="0"/>
          <w:marBottom w:val="0"/>
          <w:divBdr>
            <w:top w:val="none" w:sz="0" w:space="0" w:color="auto"/>
            <w:left w:val="none" w:sz="0" w:space="0" w:color="auto"/>
            <w:bottom w:val="none" w:sz="0" w:space="0" w:color="auto"/>
            <w:right w:val="none" w:sz="0" w:space="0" w:color="auto"/>
          </w:divBdr>
        </w:div>
      </w:divsChild>
    </w:div>
    <w:div w:id="202641637">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47270891">
      <w:bodyDiv w:val="1"/>
      <w:marLeft w:val="0"/>
      <w:marRight w:val="0"/>
      <w:marTop w:val="0"/>
      <w:marBottom w:val="0"/>
      <w:divBdr>
        <w:top w:val="none" w:sz="0" w:space="0" w:color="auto"/>
        <w:left w:val="none" w:sz="0" w:space="0" w:color="auto"/>
        <w:bottom w:val="none" w:sz="0" w:space="0" w:color="auto"/>
        <w:right w:val="none" w:sz="0" w:space="0" w:color="auto"/>
      </w:divBdr>
    </w:div>
    <w:div w:id="270553812">
      <w:bodyDiv w:val="1"/>
      <w:marLeft w:val="0"/>
      <w:marRight w:val="0"/>
      <w:marTop w:val="0"/>
      <w:marBottom w:val="0"/>
      <w:divBdr>
        <w:top w:val="none" w:sz="0" w:space="0" w:color="auto"/>
        <w:left w:val="none" w:sz="0" w:space="0" w:color="auto"/>
        <w:bottom w:val="none" w:sz="0" w:space="0" w:color="auto"/>
        <w:right w:val="none" w:sz="0" w:space="0" w:color="auto"/>
      </w:divBdr>
    </w:div>
    <w:div w:id="273485026">
      <w:bodyDiv w:val="1"/>
      <w:marLeft w:val="0"/>
      <w:marRight w:val="0"/>
      <w:marTop w:val="0"/>
      <w:marBottom w:val="0"/>
      <w:divBdr>
        <w:top w:val="none" w:sz="0" w:space="0" w:color="auto"/>
        <w:left w:val="none" w:sz="0" w:space="0" w:color="auto"/>
        <w:bottom w:val="none" w:sz="0" w:space="0" w:color="auto"/>
        <w:right w:val="none" w:sz="0" w:space="0" w:color="auto"/>
      </w:divBdr>
    </w:div>
    <w:div w:id="292709970">
      <w:bodyDiv w:val="1"/>
      <w:marLeft w:val="0"/>
      <w:marRight w:val="0"/>
      <w:marTop w:val="0"/>
      <w:marBottom w:val="0"/>
      <w:divBdr>
        <w:top w:val="none" w:sz="0" w:space="0" w:color="auto"/>
        <w:left w:val="none" w:sz="0" w:space="0" w:color="auto"/>
        <w:bottom w:val="none" w:sz="0" w:space="0" w:color="auto"/>
        <w:right w:val="none" w:sz="0" w:space="0" w:color="auto"/>
      </w:divBdr>
    </w:div>
    <w:div w:id="426004856">
      <w:bodyDiv w:val="1"/>
      <w:marLeft w:val="0"/>
      <w:marRight w:val="0"/>
      <w:marTop w:val="0"/>
      <w:marBottom w:val="0"/>
      <w:divBdr>
        <w:top w:val="none" w:sz="0" w:space="0" w:color="auto"/>
        <w:left w:val="none" w:sz="0" w:space="0" w:color="auto"/>
        <w:bottom w:val="none" w:sz="0" w:space="0" w:color="auto"/>
        <w:right w:val="none" w:sz="0" w:space="0" w:color="auto"/>
      </w:divBdr>
    </w:div>
    <w:div w:id="480197296">
      <w:bodyDiv w:val="1"/>
      <w:marLeft w:val="0"/>
      <w:marRight w:val="0"/>
      <w:marTop w:val="0"/>
      <w:marBottom w:val="0"/>
      <w:divBdr>
        <w:top w:val="none" w:sz="0" w:space="0" w:color="auto"/>
        <w:left w:val="none" w:sz="0" w:space="0" w:color="auto"/>
        <w:bottom w:val="none" w:sz="0" w:space="0" w:color="auto"/>
        <w:right w:val="none" w:sz="0" w:space="0" w:color="auto"/>
      </w:divBdr>
    </w:div>
    <w:div w:id="486828035">
      <w:bodyDiv w:val="1"/>
      <w:marLeft w:val="0"/>
      <w:marRight w:val="0"/>
      <w:marTop w:val="0"/>
      <w:marBottom w:val="0"/>
      <w:divBdr>
        <w:top w:val="none" w:sz="0" w:space="0" w:color="auto"/>
        <w:left w:val="none" w:sz="0" w:space="0" w:color="auto"/>
        <w:bottom w:val="none" w:sz="0" w:space="0" w:color="auto"/>
        <w:right w:val="none" w:sz="0" w:space="0" w:color="auto"/>
      </w:divBdr>
    </w:div>
    <w:div w:id="546530027">
      <w:bodyDiv w:val="1"/>
      <w:marLeft w:val="0"/>
      <w:marRight w:val="0"/>
      <w:marTop w:val="0"/>
      <w:marBottom w:val="0"/>
      <w:divBdr>
        <w:top w:val="none" w:sz="0" w:space="0" w:color="auto"/>
        <w:left w:val="none" w:sz="0" w:space="0" w:color="auto"/>
        <w:bottom w:val="none" w:sz="0" w:space="0" w:color="auto"/>
        <w:right w:val="none" w:sz="0" w:space="0" w:color="auto"/>
      </w:divBdr>
    </w:div>
    <w:div w:id="546989966">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29239324">
      <w:bodyDiv w:val="1"/>
      <w:marLeft w:val="0"/>
      <w:marRight w:val="0"/>
      <w:marTop w:val="0"/>
      <w:marBottom w:val="0"/>
      <w:divBdr>
        <w:top w:val="none" w:sz="0" w:space="0" w:color="auto"/>
        <w:left w:val="none" w:sz="0" w:space="0" w:color="auto"/>
        <w:bottom w:val="none" w:sz="0" w:space="0" w:color="auto"/>
        <w:right w:val="none" w:sz="0" w:space="0" w:color="auto"/>
      </w:divBdr>
    </w:div>
    <w:div w:id="642084738">
      <w:bodyDiv w:val="1"/>
      <w:marLeft w:val="0"/>
      <w:marRight w:val="0"/>
      <w:marTop w:val="0"/>
      <w:marBottom w:val="0"/>
      <w:divBdr>
        <w:top w:val="none" w:sz="0" w:space="0" w:color="auto"/>
        <w:left w:val="none" w:sz="0" w:space="0" w:color="auto"/>
        <w:bottom w:val="none" w:sz="0" w:space="0" w:color="auto"/>
        <w:right w:val="none" w:sz="0" w:space="0" w:color="auto"/>
      </w:divBdr>
    </w:div>
    <w:div w:id="657878252">
      <w:bodyDiv w:val="1"/>
      <w:marLeft w:val="0"/>
      <w:marRight w:val="0"/>
      <w:marTop w:val="0"/>
      <w:marBottom w:val="0"/>
      <w:divBdr>
        <w:top w:val="none" w:sz="0" w:space="0" w:color="auto"/>
        <w:left w:val="none" w:sz="0" w:space="0" w:color="auto"/>
        <w:bottom w:val="none" w:sz="0" w:space="0" w:color="auto"/>
        <w:right w:val="none" w:sz="0" w:space="0" w:color="auto"/>
      </w:divBdr>
    </w:div>
    <w:div w:id="670836950">
      <w:bodyDiv w:val="1"/>
      <w:marLeft w:val="0"/>
      <w:marRight w:val="0"/>
      <w:marTop w:val="0"/>
      <w:marBottom w:val="0"/>
      <w:divBdr>
        <w:top w:val="none" w:sz="0" w:space="0" w:color="auto"/>
        <w:left w:val="none" w:sz="0" w:space="0" w:color="auto"/>
        <w:bottom w:val="none" w:sz="0" w:space="0" w:color="auto"/>
        <w:right w:val="none" w:sz="0" w:space="0" w:color="auto"/>
      </w:divBdr>
    </w:div>
    <w:div w:id="709230981">
      <w:bodyDiv w:val="1"/>
      <w:marLeft w:val="0"/>
      <w:marRight w:val="0"/>
      <w:marTop w:val="0"/>
      <w:marBottom w:val="0"/>
      <w:divBdr>
        <w:top w:val="none" w:sz="0" w:space="0" w:color="auto"/>
        <w:left w:val="none" w:sz="0" w:space="0" w:color="auto"/>
        <w:bottom w:val="none" w:sz="0" w:space="0" w:color="auto"/>
        <w:right w:val="none" w:sz="0" w:space="0" w:color="auto"/>
      </w:divBdr>
    </w:div>
    <w:div w:id="774131085">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61436698">
      <w:bodyDiv w:val="1"/>
      <w:marLeft w:val="0"/>
      <w:marRight w:val="0"/>
      <w:marTop w:val="0"/>
      <w:marBottom w:val="0"/>
      <w:divBdr>
        <w:top w:val="none" w:sz="0" w:space="0" w:color="auto"/>
        <w:left w:val="none" w:sz="0" w:space="0" w:color="auto"/>
        <w:bottom w:val="none" w:sz="0" w:space="0" w:color="auto"/>
        <w:right w:val="none" w:sz="0" w:space="0" w:color="auto"/>
      </w:divBdr>
    </w:div>
    <w:div w:id="884828867">
      <w:bodyDiv w:val="1"/>
      <w:marLeft w:val="0"/>
      <w:marRight w:val="0"/>
      <w:marTop w:val="0"/>
      <w:marBottom w:val="0"/>
      <w:divBdr>
        <w:top w:val="none" w:sz="0" w:space="0" w:color="auto"/>
        <w:left w:val="none" w:sz="0" w:space="0" w:color="auto"/>
        <w:bottom w:val="none" w:sz="0" w:space="0" w:color="auto"/>
        <w:right w:val="none" w:sz="0" w:space="0" w:color="auto"/>
      </w:divBdr>
    </w:div>
    <w:div w:id="917790018">
      <w:bodyDiv w:val="1"/>
      <w:marLeft w:val="0"/>
      <w:marRight w:val="0"/>
      <w:marTop w:val="0"/>
      <w:marBottom w:val="0"/>
      <w:divBdr>
        <w:top w:val="none" w:sz="0" w:space="0" w:color="auto"/>
        <w:left w:val="none" w:sz="0" w:space="0" w:color="auto"/>
        <w:bottom w:val="none" w:sz="0" w:space="0" w:color="auto"/>
        <w:right w:val="none" w:sz="0" w:space="0" w:color="auto"/>
      </w:divBdr>
    </w:div>
    <w:div w:id="919607607">
      <w:bodyDiv w:val="1"/>
      <w:marLeft w:val="0"/>
      <w:marRight w:val="0"/>
      <w:marTop w:val="0"/>
      <w:marBottom w:val="0"/>
      <w:divBdr>
        <w:top w:val="none" w:sz="0" w:space="0" w:color="auto"/>
        <w:left w:val="none" w:sz="0" w:space="0" w:color="auto"/>
        <w:bottom w:val="none" w:sz="0" w:space="0" w:color="auto"/>
        <w:right w:val="none" w:sz="0" w:space="0" w:color="auto"/>
      </w:divBdr>
    </w:div>
    <w:div w:id="930312782">
      <w:bodyDiv w:val="1"/>
      <w:marLeft w:val="0"/>
      <w:marRight w:val="0"/>
      <w:marTop w:val="0"/>
      <w:marBottom w:val="0"/>
      <w:divBdr>
        <w:top w:val="none" w:sz="0" w:space="0" w:color="auto"/>
        <w:left w:val="none" w:sz="0" w:space="0" w:color="auto"/>
        <w:bottom w:val="none" w:sz="0" w:space="0" w:color="auto"/>
        <w:right w:val="none" w:sz="0" w:space="0" w:color="auto"/>
      </w:divBdr>
      <w:divsChild>
        <w:div w:id="150216544">
          <w:marLeft w:val="0"/>
          <w:marRight w:val="0"/>
          <w:marTop w:val="0"/>
          <w:marBottom w:val="0"/>
          <w:divBdr>
            <w:top w:val="none" w:sz="0" w:space="0" w:color="auto"/>
            <w:left w:val="none" w:sz="0" w:space="0" w:color="auto"/>
            <w:bottom w:val="none" w:sz="0" w:space="0" w:color="auto"/>
            <w:right w:val="none" w:sz="0" w:space="0" w:color="auto"/>
          </w:divBdr>
        </w:div>
        <w:div w:id="922110606">
          <w:marLeft w:val="0"/>
          <w:marRight w:val="0"/>
          <w:marTop w:val="0"/>
          <w:marBottom w:val="0"/>
          <w:divBdr>
            <w:top w:val="none" w:sz="0" w:space="0" w:color="auto"/>
            <w:left w:val="none" w:sz="0" w:space="0" w:color="auto"/>
            <w:bottom w:val="none" w:sz="0" w:space="0" w:color="auto"/>
            <w:right w:val="none" w:sz="0" w:space="0" w:color="auto"/>
          </w:divBdr>
        </w:div>
      </w:divsChild>
    </w:div>
    <w:div w:id="992951634">
      <w:bodyDiv w:val="1"/>
      <w:marLeft w:val="0"/>
      <w:marRight w:val="0"/>
      <w:marTop w:val="0"/>
      <w:marBottom w:val="0"/>
      <w:divBdr>
        <w:top w:val="none" w:sz="0" w:space="0" w:color="auto"/>
        <w:left w:val="none" w:sz="0" w:space="0" w:color="auto"/>
        <w:bottom w:val="none" w:sz="0" w:space="0" w:color="auto"/>
        <w:right w:val="none" w:sz="0" w:space="0" w:color="auto"/>
      </w:divBdr>
    </w:div>
    <w:div w:id="999769719">
      <w:bodyDiv w:val="1"/>
      <w:marLeft w:val="0"/>
      <w:marRight w:val="0"/>
      <w:marTop w:val="0"/>
      <w:marBottom w:val="0"/>
      <w:divBdr>
        <w:top w:val="none" w:sz="0" w:space="0" w:color="auto"/>
        <w:left w:val="none" w:sz="0" w:space="0" w:color="auto"/>
        <w:bottom w:val="none" w:sz="0" w:space="0" w:color="auto"/>
        <w:right w:val="none" w:sz="0" w:space="0" w:color="auto"/>
      </w:divBdr>
    </w:div>
    <w:div w:id="1016997537">
      <w:bodyDiv w:val="1"/>
      <w:marLeft w:val="0"/>
      <w:marRight w:val="0"/>
      <w:marTop w:val="0"/>
      <w:marBottom w:val="0"/>
      <w:divBdr>
        <w:top w:val="none" w:sz="0" w:space="0" w:color="auto"/>
        <w:left w:val="none" w:sz="0" w:space="0" w:color="auto"/>
        <w:bottom w:val="none" w:sz="0" w:space="0" w:color="auto"/>
        <w:right w:val="none" w:sz="0" w:space="0" w:color="auto"/>
      </w:divBdr>
    </w:div>
    <w:div w:id="1045758842">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01413741">
      <w:bodyDiv w:val="1"/>
      <w:marLeft w:val="0"/>
      <w:marRight w:val="0"/>
      <w:marTop w:val="0"/>
      <w:marBottom w:val="0"/>
      <w:divBdr>
        <w:top w:val="none" w:sz="0" w:space="0" w:color="auto"/>
        <w:left w:val="none" w:sz="0" w:space="0" w:color="auto"/>
        <w:bottom w:val="none" w:sz="0" w:space="0" w:color="auto"/>
        <w:right w:val="none" w:sz="0" w:space="0" w:color="auto"/>
      </w:divBdr>
    </w:div>
    <w:div w:id="1126697346">
      <w:bodyDiv w:val="1"/>
      <w:marLeft w:val="0"/>
      <w:marRight w:val="0"/>
      <w:marTop w:val="0"/>
      <w:marBottom w:val="0"/>
      <w:divBdr>
        <w:top w:val="none" w:sz="0" w:space="0" w:color="auto"/>
        <w:left w:val="none" w:sz="0" w:space="0" w:color="auto"/>
        <w:bottom w:val="none" w:sz="0" w:space="0" w:color="auto"/>
        <w:right w:val="none" w:sz="0" w:space="0" w:color="auto"/>
      </w:divBdr>
    </w:div>
    <w:div w:id="1134836370">
      <w:bodyDiv w:val="1"/>
      <w:marLeft w:val="0"/>
      <w:marRight w:val="0"/>
      <w:marTop w:val="0"/>
      <w:marBottom w:val="0"/>
      <w:divBdr>
        <w:top w:val="none" w:sz="0" w:space="0" w:color="auto"/>
        <w:left w:val="none" w:sz="0" w:space="0" w:color="auto"/>
        <w:bottom w:val="none" w:sz="0" w:space="0" w:color="auto"/>
        <w:right w:val="none" w:sz="0" w:space="0" w:color="auto"/>
      </w:divBdr>
    </w:div>
    <w:div w:id="1194803413">
      <w:bodyDiv w:val="1"/>
      <w:marLeft w:val="0"/>
      <w:marRight w:val="0"/>
      <w:marTop w:val="0"/>
      <w:marBottom w:val="0"/>
      <w:divBdr>
        <w:top w:val="none" w:sz="0" w:space="0" w:color="auto"/>
        <w:left w:val="none" w:sz="0" w:space="0" w:color="auto"/>
        <w:bottom w:val="none" w:sz="0" w:space="0" w:color="auto"/>
        <w:right w:val="none" w:sz="0" w:space="0" w:color="auto"/>
      </w:divBdr>
    </w:div>
    <w:div w:id="1219197920">
      <w:bodyDiv w:val="1"/>
      <w:marLeft w:val="0"/>
      <w:marRight w:val="0"/>
      <w:marTop w:val="0"/>
      <w:marBottom w:val="0"/>
      <w:divBdr>
        <w:top w:val="none" w:sz="0" w:space="0" w:color="auto"/>
        <w:left w:val="none" w:sz="0" w:space="0" w:color="auto"/>
        <w:bottom w:val="none" w:sz="0" w:space="0" w:color="auto"/>
        <w:right w:val="none" w:sz="0" w:space="0" w:color="auto"/>
      </w:divBdr>
    </w:div>
    <w:div w:id="1226405891">
      <w:bodyDiv w:val="1"/>
      <w:marLeft w:val="0"/>
      <w:marRight w:val="0"/>
      <w:marTop w:val="0"/>
      <w:marBottom w:val="0"/>
      <w:divBdr>
        <w:top w:val="none" w:sz="0" w:space="0" w:color="auto"/>
        <w:left w:val="none" w:sz="0" w:space="0" w:color="auto"/>
        <w:bottom w:val="none" w:sz="0" w:space="0" w:color="auto"/>
        <w:right w:val="none" w:sz="0" w:space="0" w:color="auto"/>
      </w:divBdr>
    </w:div>
    <w:div w:id="1249578461">
      <w:bodyDiv w:val="1"/>
      <w:marLeft w:val="0"/>
      <w:marRight w:val="0"/>
      <w:marTop w:val="0"/>
      <w:marBottom w:val="0"/>
      <w:divBdr>
        <w:top w:val="none" w:sz="0" w:space="0" w:color="auto"/>
        <w:left w:val="none" w:sz="0" w:space="0" w:color="auto"/>
        <w:bottom w:val="none" w:sz="0" w:space="0" w:color="auto"/>
        <w:right w:val="none" w:sz="0" w:space="0" w:color="auto"/>
      </w:divBdr>
    </w:div>
    <w:div w:id="1252809976">
      <w:bodyDiv w:val="1"/>
      <w:marLeft w:val="0"/>
      <w:marRight w:val="0"/>
      <w:marTop w:val="0"/>
      <w:marBottom w:val="0"/>
      <w:divBdr>
        <w:top w:val="none" w:sz="0" w:space="0" w:color="auto"/>
        <w:left w:val="none" w:sz="0" w:space="0" w:color="auto"/>
        <w:bottom w:val="none" w:sz="0" w:space="0" w:color="auto"/>
        <w:right w:val="none" w:sz="0" w:space="0" w:color="auto"/>
      </w:divBdr>
    </w:div>
    <w:div w:id="1257250544">
      <w:bodyDiv w:val="1"/>
      <w:marLeft w:val="0"/>
      <w:marRight w:val="0"/>
      <w:marTop w:val="0"/>
      <w:marBottom w:val="0"/>
      <w:divBdr>
        <w:top w:val="none" w:sz="0" w:space="0" w:color="auto"/>
        <w:left w:val="none" w:sz="0" w:space="0" w:color="auto"/>
        <w:bottom w:val="none" w:sz="0" w:space="0" w:color="auto"/>
        <w:right w:val="none" w:sz="0" w:space="0" w:color="auto"/>
      </w:divBdr>
    </w:div>
    <w:div w:id="1266575143">
      <w:bodyDiv w:val="1"/>
      <w:marLeft w:val="0"/>
      <w:marRight w:val="0"/>
      <w:marTop w:val="0"/>
      <w:marBottom w:val="0"/>
      <w:divBdr>
        <w:top w:val="none" w:sz="0" w:space="0" w:color="auto"/>
        <w:left w:val="none" w:sz="0" w:space="0" w:color="auto"/>
        <w:bottom w:val="none" w:sz="0" w:space="0" w:color="auto"/>
        <w:right w:val="none" w:sz="0" w:space="0" w:color="auto"/>
      </w:divBdr>
    </w:div>
    <w:div w:id="1267688129">
      <w:bodyDiv w:val="1"/>
      <w:marLeft w:val="0"/>
      <w:marRight w:val="0"/>
      <w:marTop w:val="0"/>
      <w:marBottom w:val="0"/>
      <w:divBdr>
        <w:top w:val="none" w:sz="0" w:space="0" w:color="auto"/>
        <w:left w:val="none" w:sz="0" w:space="0" w:color="auto"/>
        <w:bottom w:val="none" w:sz="0" w:space="0" w:color="auto"/>
        <w:right w:val="none" w:sz="0" w:space="0" w:color="auto"/>
      </w:divBdr>
    </w:div>
    <w:div w:id="1283225660">
      <w:bodyDiv w:val="1"/>
      <w:marLeft w:val="0"/>
      <w:marRight w:val="0"/>
      <w:marTop w:val="0"/>
      <w:marBottom w:val="0"/>
      <w:divBdr>
        <w:top w:val="none" w:sz="0" w:space="0" w:color="auto"/>
        <w:left w:val="none" w:sz="0" w:space="0" w:color="auto"/>
        <w:bottom w:val="none" w:sz="0" w:space="0" w:color="auto"/>
        <w:right w:val="none" w:sz="0" w:space="0" w:color="auto"/>
      </w:divBdr>
    </w:div>
    <w:div w:id="1285044903">
      <w:bodyDiv w:val="1"/>
      <w:marLeft w:val="0"/>
      <w:marRight w:val="0"/>
      <w:marTop w:val="0"/>
      <w:marBottom w:val="0"/>
      <w:divBdr>
        <w:top w:val="none" w:sz="0" w:space="0" w:color="auto"/>
        <w:left w:val="none" w:sz="0" w:space="0" w:color="auto"/>
        <w:bottom w:val="none" w:sz="0" w:space="0" w:color="auto"/>
        <w:right w:val="none" w:sz="0" w:space="0" w:color="auto"/>
      </w:divBdr>
      <w:divsChild>
        <w:div w:id="1285313691">
          <w:marLeft w:val="0"/>
          <w:marRight w:val="0"/>
          <w:marTop w:val="0"/>
          <w:marBottom w:val="0"/>
          <w:divBdr>
            <w:top w:val="none" w:sz="0" w:space="0" w:color="auto"/>
            <w:left w:val="none" w:sz="0" w:space="0" w:color="auto"/>
            <w:bottom w:val="none" w:sz="0" w:space="0" w:color="auto"/>
            <w:right w:val="none" w:sz="0" w:space="0" w:color="auto"/>
          </w:divBdr>
        </w:div>
      </w:divsChild>
    </w:div>
    <w:div w:id="1286614528">
      <w:bodyDiv w:val="1"/>
      <w:marLeft w:val="0"/>
      <w:marRight w:val="0"/>
      <w:marTop w:val="0"/>
      <w:marBottom w:val="0"/>
      <w:divBdr>
        <w:top w:val="none" w:sz="0" w:space="0" w:color="auto"/>
        <w:left w:val="none" w:sz="0" w:space="0" w:color="auto"/>
        <w:bottom w:val="none" w:sz="0" w:space="0" w:color="auto"/>
        <w:right w:val="none" w:sz="0" w:space="0" w:color="auto"/>
      </w:divBdr>
    </w:div>
    <w:div w:id="1287855957">
      <w:bodyDiv w:val="1"/>
      <w:marLeft w:val="0"/>
      <w:marRight w:val="0"/>
      <w:marTop w:val="0"/>
      <w:marBottom w:val="0"/>
      <w:divBdr>
        <w:top w:val="none" w:sz="0" w:space="0" w:color="auto"/>
        <w:left w:val="none" w:sz="0" w:space="0" w:color="auto"/>
        <w:bottom w:val="none" w:sz="0" w:space="0" w:color="auto"/>
        <w:right w:val="none" w:sz="0" w:space="0" w:color="auto"/>
      </w:divBdr>
    </w:div>
    <w:div w:id="1304650876">
      <w:bodyDiv w:val="1"/>
      <w:marLeft w:val="0"/>
      <w:marRight w:val="0"/>
      <w:marTop w:val="0"/>
      <w:marBottom w:val="0"/>
      <w:divBdr>
        <w:top w:val="none" w:sz="0" w:space="0" w:color="auto"/>
        <w:left w:val="none" w:sz="0" w:space="0" w:color="auto"/>
        <w:bottom w:val="none" w:sz="0" w:space="0" w:color="auto"/>
        <w:right w:val="none" w:sz="0" w:space="0" w:color="auto"/>
      </w:divBdr>
    </w:div>
    <w:div w:id="1304965691">
      <w:bodyDiv w:val="1"/>
      <w:marLeft w:val="0"/>
      <w:marRight w:val="0"/>
      <w:marTop w:val="0"/>
      <w:marBottom w:val="0"/>
      <w:divBdr>
        <w:top w:val="none" w:sz="0" w:space="0" w:color="auto"/>
        <w:left w:val="none" w:sz="0" w:space="0" w:color="auto"/>
        <w:bottom w:val="none" w:sz="0" w:space="0" w:color="auto"/>
        <w:right w:val="none" w:sz="0" w:space="0" w:color="auto"/>
      </w:divBdr>
    </w:div>
    <w:div w:id="1320615957">
      <w:bodyDiv w:val="1"/>
      <w:marLeft w:val="0"/>
      <w:marRight w:val="0"/>
      <w:marTop w:val="0"/>
      <w:marBottom w:val="0"/>
      <w:divBdr>
        <w:top w:val="none" w:sz="0" w:space="0" w:color="auto"/>
        <w:left w:val="none" w:sz="0" w:space="0" w:color="auto"/>
        <w:bottom w:val="none" w:sz="0" w:space="0" w:color="auto"/>
        <w:right w:val="none" w:sz="0" w:space="0" w:color="auto"/>
      </w:divBdr>
    </w:div>
    <w:div w:id="1321271913">
      <w:bodyDiv w:val="1"/>
      <w:marLeft w:val="0"/>
      <w:marRight w:val="0"/>
      <w:marTop w:val="0"/>
      <w:marBottom w:val="0"/>
      <w:divBdr>
        <w:top w:val="none" w:sz="0" w:space="0" w:color="auto"/>
        <w:left w:val="none" w:sz="0" w:space="0" w:color="auto"/>
        <w:bottom w:val="none" w:sz="0" w:space="0" w:color="auto"/>
        <w:right w:val="none" w:sz="0" w:space="0" w:color="auto"/>
      </w:divBdr>
    </w:div>
    <w:div w:id="1334837951">
      <w:bodyDiv w:val="1"/>
      <w:marLeft w:val="0"/>
      <w:marRight w:val="0"/>
      <w:marTop w:val="0"/>
      <w:marBottom w:val="0"/>
      <w:divBdr>
        <w:top w:val="none" w:sz="0" w:space="0" w:color="auto"/>
        <w:left w:val="none" w:sz="0" w:space="0" w:color="auto"/>
        <w:bottom w:val="none" w:sz="0" w:space="0" w:color="auto"/>
        <w:right w:val="none" w:sz="0" w:space="0" w:color="auto"/>
      </w:divBdr>
    </w:div>
    <w:div w:id="1379164771">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26149409">
      <w:bodyDiv w:val="1"/>
      <w:marLeft w:val="0"/>
      <w:marRight w:val="0"/>
      <w:marTop w:val="0"/>
      <w:marBottom w:val="0"/>
      <w:divBdr>
        <w:top w:val="none" w:sz="0" w:space="0" w:color="auto"/>
        <w:left w:val="none" w:sz="0" w:space="0" w:color="auto"/>
        <w:bottom w:val="none" w:sz="0" w:space="0" w:color="auto"/>
        <w:right w:val="none" w:sz="0" w:space="0" w:color="auto"/>
      </w:divBdr>
    </w:div>
    <w:div w:id="1434201388">
      <w:bodyDiv w:val="1"/>
      <w:marLeft w:val="0"/>
      <w:marRight w:val="0"/>
      <w:marTop w:val="0"/>
      <w:marBottom w:val="0"/>
      <w:divBdr>
        <w:top w:val="none" w:sz="0" w:space="0" w:color="auto"/>
        <w:left w:val="none" w:sz="0" w:space="0" w:color="auto"/>
        <w:bottom w:val="none" w:sz="0" w:space="0" w:color="auto"/>
        <w:right w:val="none" w:sz="0" w:space="0" w:color="auto"/>
      </w:divBdr>
    </w:div>
    <w:div w:id="1448088846">
      <w:bodyDiv w:val="1"/>
      <w:marLeft w:val="0"/>
      <w:marRight w:val="0"/>
      <w:marTop w:val="0"/>
      <w:marBottom w:val="0"/>
      <w:divBdr>
        <w:top w:val="none" w:sz="0" w:space="0" w:color="auto"/>
        <w:left w:val="none" w:sz="0" w:space="0" w:color="auto"/>
        <w:bottom w:val="none" w:sz="0" w:space="0" w:color="auto"/>
        <w:right w:val="none" w:sz="0" w:space="0" w:color="auto"/>
      </w:divBdr>
      <w:divsChild>
        <w:div w:id="1885210441">
          <w:marLeft w:val="0"/>
          <w:marRight w:val="0"/>
          <w:marTop w:val="0"/>
          <w:marBottom w:val="0"/>
          <w:divBdr>
            <w:top w:val="none" w:sz="0" w:space="0" w:color="auto"/>
            <w:left w:val="none" w:sz="0" w:space="0" w:color="auto"/>
            <w:bottom w:val="none" w:sz="0" w:space="0" w:color="auto"/>
            <w:right w:val="none" w:sz="0" w:space="0" w:color="auto"/>
          </w:divBdr>
        </w:div>
        <w:div w:id="348068374">
          <w:marLeft w:val="0"/>
          <w:marRight w:val="0"/>
          <w:marTop w:val="0"/>
          <w:marBottom w:val="0"/>
          <w:divBdr>
            <w:top w:val="none" w:sz="0" w:space="0" w:color="auto"/>
            <w:left w:val="none" w:sz="0" w:space="0" w:color="auto"/>
            <w:bottom w:val="none" w:sz="0" w:space="0" w:color="auto"/>
            <w:right w:val="none" w:sz="0" w:space="0" w:color="auto"/>
          </w:divBdr>
          <w:divsChild>
            <w:div w:id="696348447">
              <w:marLeft w:val="0"/>
              <w:marRight w:val="0"/>
              <w:marTop w:val="0"/>
              <w:marBottom w:val="0"/>
              <w:divBdr>
                <w:top w:val="none" w:sz="0" w:space="0" w:color="auto"/>
                <w:left w:val="none" w:sz="0" w:space="0" w:color="auto"/>
                <w:bottom w:val="none" w:sz="0" w:space="0" w:color="auto"/>
                <w:right w:val="none" w:sz="0" w:space="0" w:color="auto"/>
              </w:divBdr>
              <w:divsChild>
                <w:div w:id="371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550">
      <w:bodyDiv w:val="1"/>
      <w:marLeft w:val="0"/>
      <w:marRight w:val="0"/>
      <w:marTop w:val="0"/>
      <w:marBottom w:val="0"/>
      <w:divBdr>
        <w:top w:val="none" w:sz="0" w:space="0" w:color="auto"/>
        <w:left w:val="none" w:sz="0" w:space="0" w:color="auto"/>
        <w:bottom w:val="none" w:sz="0" w:space="0" w:color="auto"/>
        <w:right w:val="none" w:sz="0" w:space="0" w:color="auto"/>
      </w:divBdr>
    </w:div>
    <w:div w:id="1618952209">
      <w:bodyDiv w:val="1"/>
      <w:marLeft w:val="0"/>
      <w:marRight w:val="0"/>
      <w:marTop w:val="0"/>
      <w:marBottom w:val="0"/>
      <w:divBdr>
        <w:top w:val="none" w:sz="0" w:space="0" w:color="auto"/>
        <w:left w:val="none" w:sz="0" w:space="0" w:color="auto"/>
        <w:bottom w:val="none" w:sz="0" w:space="0" w:color="auto"/>
        <w:right w:val="none" w:sz="0" w:space="0" w:color="auto"/>
      </w:divBdr>
    </w:div>
    <w:div w:id="1625378958">
      <w:bodyDiv w:val="1"/>
      <w:marLeft w:val="0"/>
      <w:marRight w:val="0"/>
      <w:marTop w:val="0"/>
      <w:marBottom w:val="0"/>
      <w:divBdr>
        <w:top w:val="none" w:sz="0" w:space="0" w:color="auto"/>
        <w:left w:val="none" w:sz="0" w:space="0" w:color="auto"/>
        <w:bottom w:val="none" w:sz="0" w:space="0" w:color="auto"/>
        <w:right w:val="none" w:sz="0" w:space="0" w:color="auto"/>
      </w:divBdr>
    </w:div>
    <w:div w:id="1696996830">
      <w:bodyDiv w:val="1"/>
      <w:marLeft w:val="0"/>
      <w:marRight w:val="0"/>
      <w:marTop w:val="0"/>
      <w:marBottom w:val="0"/>
      <w:divBdr>
        <w:top w:val="none" w:sz="0" w:space="0" w:color="auto"/>
        <w:left w:val="none" w:sz="0" w:space="0" w:color="auto"/>
        <w:bottom w:val="none" w:sz="0" w:space="0" w:color="auto"/>
        <w:right w:val="none" w:sz="0" w:space="0" w:color="auto"/>
      </w:divBdr>
    </w:div>
    <w:div w:id="1743258688">
      <w:bodyDiv w:val="1"/>
      <w:marLeft w:val="0"/>
      <w:marRight w:val="0"/>
      <w:marTop w:val="0"/>
      <w:marBottom w:val="0"/>
      <w:divBdr>
        <w:top w:val="none" w:sz="0" w:space="0" w:color="auto"/>
        <w:left w:val="none" w:sz="0" w:space="0" w:color="auto"/>
        <w:bottom w:val="none" w:sz="0" w:space="0" w:color="auto"/>
        <w:right w:val="none" w:sz="0" w:space="0" w:color="auto"/>
      </w:divBdr>
    </w:div>
    <w:div w:id="1747263005">
      <w:bodyDiv w:val="1"/>
      <w:marLeft w:val="0"/>
      <w:marRight w:val="0"/>
      <w:marTop w:val="0"/>
      <w:marBottom w:val="0"/>
      <w:divBdr>
        <w:top w:val="none" w:sz="0" w:space="0" w:color="auto"/>
        <w:left w:val="none" w:sz="0" w:space="0" w:color="auto"/>
        <w:bottom w:val="none" w:sz="0" w:space="0" w:color="auto"/>
        <w:right w:val="none" w:sz="0" w:space="0" w:color="auto"/>
      </w:divBdr>
    </w:div>
    <w:div w:id="1756318925">
      <w:bodyDiv w:val="1"/>
      <w:marLeft w:val="0"/>
      <w:marRight w:val="0"/>
      <w:marTop w:val="0"/>
      <w:marBottom w:val="0"/>
      <w:divBdr>
        <w:top w:val="none" w:sz="0" w:space="0" w:color="auto"/>
        <w:left w:val="none" w:sz="0" w:space="0" w:color="auto"/>
        <w:bottom w:val="none" w:sz="0" w:space="0" w:color="auto"/>
        <w:right w:val="none" w:sz="0" w:space="0" w:color="auto"/>
      </w:divBdr>
    </w:div>
    <w:div w:id="1782258239">
      <w:bodyDiv w:val="1"/>
      <w:marLeft w:val="0"/>
      <w:marRight w:val="0"/>
      <w:marTop w:val="0"/>
      <w:marBottom w:val="0"/>
      <w:divBdr>
        <w:top w:val="none" w:sz="0" w:space="0" w:color="auto"/>
        <w:left w:val="none" w:sz="0" w:space="0" w:color="auto"/>
        <w:bottom w:val="none" w:sz="0" w:space="0" w:color="auto"/>
        <w:right w:val="none" w:sz="0" w:space="0" w:color="auto"/>
      </w:divBdr>
    </w:div>
    <w:div w:id="1793406073">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841964403">
      <w:bodyDiv w:val="1"/>
      <w:marLeft w:val="0"/>
      <w:marRight w:val="0"/>
      <w:marTop w:val="0"/>
      <w:marBottom w:val="0"/>
      <w:divBdr>
        <w:top w:val="none" w:sz="0" w:space="0" w:color="auto"/>
        <w:left w:val="none" w:sz="0" w:space="0" w:color="auto"/>
        <w:bottom w:val="none" w:sz="0" w:space="0" w:color="auto"/>
        <w:right w:val="none" w:sz="0" w:space="0" w:color="auto"/>
      </w:divBdr>
    </w:div>
    <w:div w:id="1845315769">
      <w:bodyDiv w:val="1"/>
      <w:marLeft w:val="0"/>
      <w:marRight w:val="0"/>
      <w:marTop w:val="0"/>
      <w:marBottom w:val="0"/>
      <w:divBdr>
        <w:top w:val="none" w:sz="0" w:space="0" w:color="auto"/>
        <w:left w:val="none" w:sz="0" w:space="0" w:color="auto"/>
        <w:bottom w:val="none" w:sz="0" w:space="0" w:color="auto"/>
        <w:right w:val="none" w:sz="0" w:space="0" w:color="auto"/>
      </w:divBdr>
    </w:div>
    <w:div w:id="1866358168">
      <w:bodyDiv w:val="1"/>
      <w:marLeft w:val="0"/>
      <w:marRight w:val="0"/>
      <w:marTop w:val="0"/>
      <w:marBottom w:val="0"/>
      <w:divBdr>
        <w:top w:val="none" w:sz="0" w:space="0" w:color="auto"/>
        <w:left w:val="none" w:sz="0" w:space="0" w:color="auto"/>
        <w:bottom w:val="none" w:sz="0" w:space="0" w:color="auto"/>
        <w:right w:val="none" w:sz="0" w:space="0" w:color="auto"/>
      </w:divBdr>
    </w:div>
    <w:div w:id="1867788900">
      <w:bodyDiv w:val="1"/>
      <w:marLeft w:val="0"/>
      <w:marRight w:val="0"/>
      <w:marTop w:val="0"/>
      <w:marBottom w:val="0"/>
      <w:divBdr>
        <w:top w:val="none" w:sz="0" w:space="0" w:color="auto"/>
        <w:left w:val="none" w:sz="0" w:space="0" w:color="auto"/>
        <w:bottom w:val="none" w:sz="0" w:space="0" w:color="auto"/>
        <w:right w:val="none" w:sz="0" w:space="0" w:color="auto"/>
      </w:divBdr>
    </w:div>
    <w:div w:id="1902980239">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39949731">
      <w:bodyDiv w:val="1"/>
      <w:marLeft w:val="0"/>
      <w:marRight w:val="0"/>
      <w:marTop w:val="0"/>
      <w:marBottom w:val="0"/>
      <w:divBdr>
        <w:top w:val="none" w:sz="0" w:space="0" w:color="auto"/>
        <w:left w:val="none" w:sz="0" w:space="0" w:color="auto"/>
        <w:bottom w:val="none" w:sz="0" w:space="0" w:color="auto"/>
        <w:right w:val="none" w:sz="0" w:space="0" w:color="auto"/>
      </w:divBdr>
    </w:div>
    <w:div w:id="1954512249">
      <w:bodyDiv w:val="1"/>
      <w:marLeft w:val="0"/>
      <w:marRight w:val="0"/>
      <w:marTop w:val="0"/>
      <w:marBottom w:val="0"/>
      <w:divBdr>
        <w:top w:val="none" w:sz="0" w:space="0" w:color="auto"/>
        <w:left w:val="none" w:sz="0" w:space="0" w:color="auto"/>
        <w:bottom w:val="none" w:sz="0" w:space="0" w:color="auto"/>
        <w:right w:val="none" w:sz="0" w:space="0" w:color="auto"/>
      </w:divBdr>
    </w:div>
    <w:div w:id="1976712366">
      <w:bodyDiv w:val="1"/>
      <w:marLeft w:val="0"/>
      <w:marRight w:val="0"/>
      <w:marTop w:val="0"/>
      <w:marBottom w:val="0"/>
      <w:divBdr>
        <w:top w:val="none" w:sz="0" w:space="0" w:color="auto"/>
        <w:left w:val="none" w:sz="0" w:space="0" w:color="auto"/>
        <w:bottom w:val="none" w:sz="0" w:space="0" w:color="auto"/>
        <w:right w:val="none" w:sz="0" w:space="0" w:color="auto"/>
      </w:divBdr>
    </w:div>
    <w:div w:id="2061901777">
      <w:bodyDiv w:val="1"/>
      <w:marLeft w:val="0"/>
      <w:marRight w:val="0"/>
      <w:marTop w:val="0"/>
      <w:marBottom w:val="0"/>
      <w:divBdr>
        <w:top w:val="none" w:sz="0" w:space="0" w:color="auto"/>
        <w:left w:val="none" w:sz="0" w:space="0" w:color="auto"/>
        <w:bottom w:val="none" w:sz="0" w:space="0" w:color="auto"/>
        <w:right w:val="none" w:sz="0" w:space="0" w:color="auto"/>
      </w:divBdr>
    </w:div>
    <w:div w:id="2068335608">
      <w:bodyDiv w:val="1"/>
      <w:marLeft w:val="0"/>
      <w:marRight w:val="0"/>
      <w:marTop w:val="0"/>
      <w:marBottom w:val="0"/>
      <w:divBdr>
        <w:top w:val="none" w:sz="0" w:space="0" w:color="auto"/>
        <w:left w:val="none" w:sz="0" w:space="0" w:color="auto"/>
        <w:bottom w:val="none" w:sz="0" w:space="0" w:color="auto"/>
        <w:right w:val="none" w:sz="0" w:space="0" w:color="auto"/>
      </w:divBdr>
      <w:divsChild>
        <w:div w:id="460810439">
          <w:marLeft w:val="0"/>
          <w:marRight w:val="0"/>
          <w:marTop w:val="0"/>
          <w:marBottom w:val="0"/>
          <w:divBdr>
            <w:top w:val="none" w:sz="0" w:space="0" w:color="auto"/>
            <w:left w:val="none" w:sz="0" w:space="0" w:color="auto"/>
            <w:bottom w:val="none" w:sz="0" w:space="0" w:color="auto"/>
            <w:right w:val="none" w:sz="0" w:space="0" w:color="auto"/>
          </w:divBdr>
          <w:divsChild>
            <w:div w:id="1768648916">
              <w:marLeft w:val="0"/>
              <w:marRight w:val="0"/>
              <w:marTop w:val="0"/>
              <w:marBottom w:val="0"/>
              <w:divBdr>
                <w:top w:val="none" w:sz="0" w:space="0" w:color="auto"/>
                <w:left w:val="none" w:sz="0" w:space="0" w:color="auto"/>
                <w:bottom w:val="none" w:sz="0" w:space="0" w:color="auto"/>
                <w:right w:val="none" w:sz="0" w:space="0" w:color="auto"/>
              </w:divBdr>
            </w:div>
          </w:divsChild>
        </w:div>
        <w:div w:id="719981555">
          <w:marLeft w:val="0"/>
          <w:marRight w:val="0"/>
          <w:marTop w:val="0"/>
          <w:marBottom w:val="0"/>
          <w:divBdr>
            <w:top w:val="none" w:sz="0" w:space="0" w:color="auto"/>
            <w:left w:val="none" w:sz="0" w:space="0" w:color="auto"/>
            <w:bottom w:val="none" w:sz="0" w:space="0" w:color="auto"/>
            <w:right w:val="none" w:sz="0" w:space="0" w:color="auto"/>
          </w:divBdr>
          <w:divsChild>
            <w:div w:id="600719122">
              <w:marLeft w:val="0"/>
              <w:marRight w:val="0"/>
              <w:marTop w:val="0"/>
              <w:marBottom w:val="0"/>
              <w:divBdr>
                <w:top w:val="none" w:sz="0" w:space="0" w:color="auto"/>
                <w:left w:val="none" w:sz="0" w:space="0" w:color="auto"/>
                <w:bottom w:val="none" w:sz="0" w:space="0" w:color="auto"/>
                <w:right w:val="none" w:sz="0" w:space="0" w:color="auto"/>
              </w:divBdr>
            </w:div>
          </w:divsChild>
        </w:div>
        <w:div w:id="1425374518">
          <w:marLeft w:val="0"/>
          <w:marRight w:val="0"/>
          <w:marTop w:val="0"/>
          <w:marBottom w:val="0"/>
          <w:divBdr>
            <w:top w:val="none" w:sz="0" w:space="0" w:color="auto"/>
            <w:left w:val="none" w:sz="0" w:space="0" w:color="auto"/>
            <w:bottom w:val="none" w:sz="0" w:space="0" w:color="auto"/>
            <w:right w:val="none" w:sz="0" w:space="0" w:color="auto"/>
          </w:divBdr>
          <w:divsChild>
            <w:div w:id="37046448">
              <w:marLeft w:val="0"/>
              <w:marRight w:val="0"/>
              <w:marTop w:val="0"/>
              <w:marBottom w:val="0"/>
              <w:divBdr>
                <w:top w:val="none" w:sz="0" w:space="0" w:color="auto"/>
                <w:left w:val="none" w:sz="0" w:space="0" w:color="auto"/>
                <w:bottom w:val="none" w:sz="0" w:space="0" w:color="auto"/>
                <w:right w:val="none" w:sz="0" w:space="0" w:color="auto"/>
              </w:divBdr>
              <w:divsChild>
                <w:div w:id="918951684">
                  <w:marLeft w:val="0"/>
                  <w:marRight w:val="0"/>
                  <w:marTop w:val="0"/>
                  <w:marBottom w:val="0"/>
                  <w:divBdr>
                    <w:top w:val="none" w:sz="0" w:space="0" w:color="auto"/>
                    <w:left w:val="none" w:sz="0" w:space="0" w:color="auto"/>
                    <w:bottom w:val="none" w:sz="0" w:space="0" w:color="auto"/>
                    <w:right w:val="none" w:sz="0" w:space="0" w:color="auto"/>
                  </w:divBdr>
                  <w:divsChild>
                    <w:div w:id="20241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8900">
              <w:marLeft w:val="0"/>
              <w:marRight w:val="0"/>
              <w:marTop w:val="0"/>
              <w:marBottom w:val="0"/>
              <w:divBdr>
                <w:top w:val="none" w:sz="0" w:space="0" w:color="auto"/>
                <w:left w:val="none" w:sz="0" w:space="0" w:color="auto"/>
                <w:bottom w:val="none" w:sz="0" w:space="0" w:color="auto"/>
                <w:right w:val="none" w:sz="0" w:space="0" w:color="auto"/>
              </w:divBdr>
              <w:divsChild>
                <w:div w:id="1584340261">
                  <w:marLeft w:val="0"/>
                  <w:marRight w:val="0"/>
                  <w:marTop w:val="0"/>
                  <w:marBottom w:val="0"/>
                  <w:divBdr>
                    <w:top w:val="none" w:sz="0" w:space="0" w:color="auto"/>
                    <w:left w:val="none" w:sz="0" w:space="0" w:color="auto"/>
                    <w:bottom w:val="none" w:sz="0" w:space="0" w:color="auto"/>
                    <w:right w:val="none" w:sz="0" w:space="0" w:color="auto"/>
                  </w:divBdr>
                  <w:divsChild>
                    <w:div w:id="6151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3224">
              <w:marLeft w:val="0"/>
              <w:marRight w:val="0"/>
              <w:marTop w:val="0"/>
              <w:marBottom w:val="0"/>
              <w:divBdr>
                <w:top w:val="none" w:sz="0" w:space="0" w:color="auto"/>
                <w:left w:val="none" w:sz="0" w:space="0" w:color="auto"/>
                <w:bottom w:val="none" w:sz="0" w:space="0" w:color="auto"/>
                <w:right w:val="none" w:sz="0" w:space="0" w:color="auto"/>
              </w:divBdr>
            </w:div>
            <w:div w:id="2019699394">
              <w:marLeft w:val="0"/>
              <w:marRight w:val="0"/>
              <w:marTop w:val="0"/>
              <w:marBottom w:val="0"/>
              <w:divBdr>
                <w:top w:val="none" w:sz="0" w:space="0" w:color="auto"/>
                <w:left w:val="none" w:sz="0" w:space="0" w:color="auto"/>
                <w:bottom w:val="none" w:sz="0" w:space="0" w:color="auto"/>
                <w:right w:val="none" w:sz="0" w:space="0" w:color="auto"/>
              </w:divBdr>
              <w:divsChild>
                <w:div w:id="1217282556">
                  <w:marLeft w:val="0"/>
                  <w:marRight w:val="0"/>
                  <w:marTop w:val="0"/>
                  <w:marBottom w:val="0"/>
                  <w:divBdr>
                    <w:top w:val="none" w:sz="0" w:space="0" w:color="auto"/>
                    <w:left w:val="none" w:sz="0" w:space="0" w:color="auto"/>
                    <w:bottom w:val="none" w:sz="0" w:space="0" w:color="auto"/>
                    <w:right w:val="none" w:sz="0" w:space="0" w:color="auto"/>
                  </w:divBdr>
                  <w:divsChild>
                    <w:div w:id="2681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FEA45-B88A-4755-9369-742FC682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11221</Words>
  <Characters>67328</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78393</CharactersWithSpaces>
  <SharedDoc>false</SharedDoc>
  <HLinks>
    <vt:vector size="12" baseType="variant">
      <vt:variant>
        <vt:i4>1638453</vt:i4>
      </vt:variant>
      <vt:variant>
        <vt:i4>0</vt:i4>
      </vt:variant>
      <vt:variant>
        <vt:i4>0</vt:i4>
      </vt:variant>
      <vt:variant>
        <vt:i4>5</vt:i4>
      </vt:variant>
      <vt:variant>
        <vt:lpwstr>mailto:szymon.tumielewicz@klimat.gov.pl</vt:lpwstr>
      </vt:variant>
      <vt:variant>
        <vt:lpwstr/>
      </vt:variant>
      <vt:variant>
        <vt:i4>1114204</vt:i4>
      </vt:variant>
      <vt:variant>
        <vt:i4>0</vt:i4>
      </vt:variant>
      <vt:variant>
        <vt:i4>0</vt:i4>
      </vt:variant>
      <vt:variant>
        <vt:i4>5</vt:i4>
      </vt:variant>
      <vt:variant>
        <vt:lpwstr>http://obserwatorium.miasta.pl/wp-content/uploads/2021/06/Barometr-bud%C5%BCetu-obywatelskiego-Martela-Bubak-Janik-opm-irmir-2020.pdf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Stopczyk Veranika</dc:creator>
  <cp:keywords/>
  <cp:lastModifiedBy>Kozińska-Żywar Anna</cp:lastModifiedBy>
  <cp:revision>5</cp:revision>
  <cp:lastPrinted>2025-04-04T12:08:00Z</cp:lastPrinted>
  <dcterms:created xsi:type="dcterms:W3CDTF">2026-03-10T15:13:00Z</dcterms:created>
  <dcterms:modified xsi:type="dcterms:W3CDTF">2026-03-11T12:10:00Z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-893612368</vt:i4>
  </property>
</Properties>
</file>