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14DB8" w14:textId="30D3A3D1" w:rsidR="00261A16" w:rsidRDefault="00137F85" w:rsidP="00E154FC">
      <w:pPr>
        <w:pStyle w:val="OZNPROJEKTUwskazaniedatylubwersjiprojektu"/>
      </w:pPr>
      <w:r>
        <w:t xml:space="preserve">Projekt z </w:t>
      </w:r>
      <w:r w:rsidR="00C73FD4">
        <w:t>2</w:t>
      </w:r>
      <w:r w:rsidR="00FD1EB2">
        <w:t>5</w:t>
      </w:r>
      <w:r>
        <w:t>.</w:t>
      </w:r>
      <w:r w:rsidR="004D51BF">
        <w:t>02</w:t>
      </w:r>
      <w:r>
        <w:t>.202</w:t>
      </w:r>
      <w:r w:rsidR="004D51BF">
        <w:t>6</w:t>
      </w:r>
      <w:r>
        <w:t xml:space="preserve"> r.</w:t>
      </w:r>
    </w:p>
    <w:p w14:paraId="5AC51DE1" w14:textId="47BA2FF7" w:rsidR="00137F85" w:rsidRDefault="00137F85" w:rsidP="00137F85">
      <w:pPr>
        <w:pStyle w:val="OZNRODZAKTUtznustawalubrozporzdzenieiorganwydajcy"/>
      </w:pPr>
      <w:r>
        <w:t xml:space="preserve">Rozporządzenie </w:t>
      </w:r>
      <w:r w:rsidR="009F25FF">
        <w:t xml:space="preserve"> </w:t>
      </w:r>
    </w:p>
    <w:p w14:paraId="1E201758" w14:textId="3F5CDB8D" w:rsidR="00137F85" w:rsidRDefault="00137F85" w:rsidP="00137F85">
      <w:pPr>
        <w:pStyle w:val="OZNRODZAKTUtznustawalubrozporzdzenieiorganwydajcy"/>
      </w:pPr>
      <w:r>
        <w:t>ministra klimatu i środowiska</w:t>
      </w:r>
      <w:r w:rsidR="00395BD6">
        <w:rPr>
          <w:rStyle w:val="Odwoanieprzypisudolnego"/>
        </w:rPr>
        <w:footnoteReference w:customMarkFollows="1" w:id="1"/>
        <w:t>1)</w:t>
      </w:r>
      <w:r>
        <w:t xml:space="preserve"> </w:t>
      </w:r>
      <w:r w:rsidR="00604762">
        <w:t xml:space="preserve"> </w:t>
      </w:r>
    </w:p>
    <w:p w14:paraId="305B8F2A" w14:textId="6851F229" w:rsidR="00137F85" w:rsidRDefault="00137F85" w:rsidP="00137F85">
      <w:pPr>
        <w:pStyle w:val="DATAAKTUdatauchwalenialubwydaniaaktu"/>
      </w:pPr>
      <w:r>
        <w:t>z dnia ………</w:t>
      </w:r>
      <w:r w:rsidR="00C73FD4">
        <w:t xml:space="preserve">……………… </w:t>
      </w:r>
      <w:r>
        <w:t>2026 r.</w:t>
      </w:r>
    </w:p>
    <w:p w14:paraId="78DB2258" w14:textId="70F9FE34" w:rsidR="00137F85" w:rsidRDefault="00137F85" w:rsidP="00137F85">
      <w:pPr>
        <w:pStyle w:val="TYTUAKTUprzedmiotregulacjiustawylubrozporzdzenia"/>
      </w:pPr>
      <w:r>
        <w:t>w sprawie rodzajów instalacji mogących powodować znaczne zanieczyszczenie poszczególnych elementów przyrodniczych albo środowiska jako całości</w:t>
      </w:r>
    </w:p>
    <w:p w14:paraId="270B20E7" w14:textId="35D7C693" w:rsidR="00137F85" w:rsidRDefault="00137F85" w:rsidP="00137F85">
      <w:pPr>
        <w:pStyle w:val="NIEARTTEKSTtekstnieartykuowanynppodstprawnarozplubpreambua"/>
      </w:pPr>
      <w:r>
        <w:t xml:space="preserve">Na podstawie art. 201 ust. 2 ustawy z dnia 27 kwietnia 2001 r. - Prawo ochrony środowiska (Dz. U. z </w:t>
      </w:r>
      <w:r w:rsidR="00395BD6">
        <w:t xml:space="preserve">2025 </w:t>
      </w:r>
      <w:r>
        <w:t>r. poz. ….) zarządza się</w:t>
      </w:r>
      <w:r w:rsidR="00395BD6">
        <w:t>,</w:t>
      </w:r>
      <w:r>
        <w:t xml:space="preserve"> co następuje:</w:t>
      </w:r>
    </w:p>
    <w:p w14:paraId="181421F8" w14:textId="24FCFCC8" w:rsidR="006B049A" w:rsidRPr="006B049A" w:rsidRDefault="006B049A" w:rsidP="002532FE">
      <w:pPr>
        <w:pStyle w:val="ARTartustawynprozporzdzenia"/>
      </w:pPr>
      <w:r w:rsidRPr="006B049A">
        <w:t>§ 1.</w:t>
      </w:r>
      <w:r w:rsidR="002532FE">
        <w:t xml:space="preserve"> </w:t>
      </w:r>
      <w:r w:rsidRPr="006B049A">
        <w:t>Rodzaje instalacji mogących powodować znaczne zanieczyszczenie poszczególnych elementów przyrodniczych albo środowiska jako całości określa załącznik do rozporządzenia.</w:t>
      </w:r>
    </w:p>
    <w:p w14:paraId="7A6AC917" w14:textId="714F58C5" w:rsidR="006B049A" w:rsidRDefault="006B049A" w:rsidP="00822028">
      <w:pPr>
        <w:pStyle w:val="ARTartustawynprozporzdzenia"/>
      </w:pPr>
      <w:r w:rsidRPr="006B049A">
        <w:t xml:space="preserve">§ </w:t>
      </w:r>
      <w:r w:rsidR="002532FE">
        <w:t>2</w:t>
      </w:r>
      <w:r w:rsidRPr="006B049A">
        <w:t>. Rozporządzenie określa</w:t>
      </w:r>
      <w:r w:rsidR="00822028">
        <w:t xml:space="preserve"> r</w:t>
      </w:r>
      <w:r>
        <w:t>odzaje instalacji przypisan</w:t>
      </w:r>
      <w:r w:rsidR="00822028">
        <w:t>e</w:t>
      </w:r>
      <w:r>
        <w:t xml:space="preserve"> do </w:t>
      </w:r>
      <w:r w:rsidR="002532FE">
        <w:t xml:space="preserve">poszczególnych </w:t>
      </w:r>
      <w:r>
        <w:t>kategorii według następującego podziału:</w:t>
      </w:r>
    </w:p>
    <w:p w14:paraId="35D2037B" w14:textId="34E5BD82" w:rsidR="002532FE" w:rsidRDefault="00DC389D" w:rsidP="002262AF">
      <w:pPr>
        <w:pStyle w:val="USTustnpkodeksu"/>
      </w:pPr>
      <w:r>
        <w:t>1</w:t>
      </w:r>
      <w:r w:rsidR="002532FE">
        <w:t>) kategoria I - ust. 1 pkt 1 (</w:t>
      </w:r>
      <w:r w:rsidR="008F606D">
        <w:t xml:space="preserve">nie mniejszej niż </w:t>
      </w:r>
      <w:r w:rsidR="002532FE">
        <w:t>300</w:t>
      </w:r>
      <w:r w:rsidR="00220C2B">
        <w:t xml:space="preserve"> </w:t>
      </w:r>
      <w:r w:rsidR="002532FE">
        <w:t>MW), ust. 1 pkt 2,</w:t>
      </w:r>
      <w:r w:rsidR="004D713B">
        <w:t xml:space="preserve"> </w:t>
      </w:r>
      <w:r w:rsidR="002532FE">
        <w:t>3,</w:t>
      </w:r>
      <w:r w:rsidR="004D713B">
        <w:t xml:space="preserve"> </w:t>
      </w:r>
      <w:r w:rsidR="002532FE">
        <w:t>4; ust. 2, ust. 4, ust. 5</w:t>
      </w:r>
      <w:r w:rsidR="004D713B">
        <w:t xml:space="preserve"> </w:t>
      </w:r>
      <w:r w:rsidR="002532FE">
        <w:t>oraz ust. 6 pkt 8</w:t>
      </w:r>
      <w:r w:rsidR="00C73FD4">
        <w:t>;</w:t>
      </w:r>
      <w:r w:rsidR="002532FE">
        <w:t xml:space="preserve"> </w:t>
      </w:r>
    </w:p>
    <w:p w14:paraId="2C12EC8C" w14:textId="6CA3ECAE" w:rsidR="002532FE" w:rsidRDefault="00DC389D" w:rsidP="002262AF">
      <w:pPr>
        <w:pStyle w:val="USTustnpkodeksu"/>
      </w:pPr>
      <w:r>
        <w:t>2</w:t>
      </w:r>
      <w:r w:rsidR="002532FE">
        <w:t>) kategoria II - ust. 1 pkt 1 (poniżej 300</w:t>
      </w:r>
      <w:r w:rsidR="00220C2B">
        <w:t xml:space="preserve"> </w:t>
      </w:r>
      <w:r w:rsidR="002532FE">
        <w:t xml:space="preserve">MW), </w:t>
      </w:r>
      <w:r w:rsidR="00822028">
        <w:t xml:space="preserve">ust. 3, </w:t>
      </w:r>
      <w:r w:rsidR="002532FE">
        <w:t xml:space="preserve">ust. 6 pkt </w:t>
      </w:r>
      <w:r w:rsidR="00220C2B">
        <w:t>1,</w:t>
      </w:r>
      <w:r w:rsidR="00822028">
        <w:t xml:space="preserve"> </w:t>
      </w:r>
      <w:r w:rsidR="00220C2B">
        <w:t>2,</w:t>
      </w:r>
      <w:r w:rsidR="00822028">
        <w:t xml:space="preserve"> </w:t>
      </w:r>
      <w:r w:rsidR="00220C2B">
        <w:t>3,</w:t>
      </w:r>
      <w:r w:rsidR="00822028">
        <w:t xml:space="preserve"> </w:t>
      </w:r>
      <w:r w:rsidR="00220C2B">
        <w:t>4,</w:t>
      </w:r>
      <w:r w:rsidR="00822028">
        <w:t xml:space="preserve"> </w:t>
      </w:r>
      <w:r w:rsidR="00220C2B">
        <w:t>5</w:t>
      </w:r>
      <w:r w:rsidR="00822028">
        <w:t xml:space="preserve"> </w:t>
      </w:r>
      <w:r w:rsidR="00220C2B">
        <w:t>,</w:t>
      </w:r>
      <w:r w:rsidR="00CA01F3">
        <w:t xml:space="preserve"> 6, </w:t>
      </w:r>
      <w:r w:rsidR="00220C2B">
        <w:t>7,</w:t>
      </w:r>
      <w:r w:rsidR="00822028">
        <w:t xml:space="preserve"> </w:t>
      </w:r>
      <w:r w:rsidR="00220C2B">
        <w:t>9,</w:t>
      </w:r>
      <w:r w:rsidR="00822028">
        <w:t xml:space="preserve"> </w:t>
      </w:r>
      <w:r w:rsidR="00220C2B">
        <w:t>10,</w:t>
      </w:r>
      <w:r w:rsidR="00822028">
        <w:t xml:space="preserve"> </w:t>
      </w:r>
      <w:r w:rsidR="00220C2B">
        <w:t>11,</w:t>
      </w:r>
      <w:r w:rsidR="00822028">
        <w:t xml:space="preserve"> </w:t>
      </w:r>
      <w:r w:rsidR="00220C2B">
        <w:t>12,</w:t>
      </w:r>
      <w:r w:rsidR="00822028">
        <w:t xml:space="preserve"> </w:t>
      </w:r>
      <w:r w:rsidR="00220C2B">
        <w:t>13,14</w:t>
      </w:r>
      <w:r w:rsidR="00C73FD4">
        <w:t>.</w:t>
      </w:r>
    </w:p>
    <w:p w14:paraId="2C394026" w14:textId="0AD937C1" w:rsidR="002262AF" w:rsidRDefault="00822028" w:rsidP="00C73FD4">
      <w:pPr>
        <w:pStyle w:val="USTustnpkodeksu"/>
      </w:pPr>
      <w:r w:rsidRPr="00822028">
        <w:t>§</w:t>
      </w:r>
      <w:r>
        <w:t xml:space="preserve"> 3. </w:t>
      </w:r>
      <w:r w:rsidR="00EB1316">
        <w:t xml:space="preserve">1. </w:t>
      </w:r>
      <w:r w:rsidR="00EB1316" w:rsidRPr="00EB1316">
        <w:t xml:space="preserve">Jeżeli na terenie zakładu położona jest więcej niż jedna instalacja </w:t>
      </w:r>
      <w:r w:rsidR="00EB1316">
        <w:t>przypisana do ust. 6 pkt 8</w:t>
      </w:r>
      <w:r w:rsidR="00EB1316" w:rsidRPr="00EB1316">
        <w:t xml:space="preserve">, to </w:t>
      </w:r>
      <w:r w:rsidR="003772E7">
        <w:t>współczynnik przeliczeniowy obsady (</w:t>
      </w:r>
      <w:r w:rsidR="009B5922">
        <w:t>WPO</w:t>
      </w:r>
      <w:r w:rsidR="003772E7">
        <w:t>)</w:t>
      </w:r>
      <w:r w:rsidR="00EB1316">
        <w:t xml:space="preserve"> sumuje się</w:t>
      </w:r>
      <w:r w:rsidR="00C73FD4">
        <w:t>,</w:t>
      </w:r>
      <w:r w:rsidR="002262AF">
        <w:t xml:space="preserve"> </w:t>
      </w:r>
      <w:r w:rsidR="002262AF" w:rsidRPr="002262AF">
        <w:t xml:space="preserve">przy czym </w:t>
      </w:r>
      <w:r w:rsidR="003772E7">
        <w:t>przez WPO rozumie się</w:t>
      </w:r>
      <w:r w:rsidR="002262AF" w:rsidRPr="002262AF">
        <w:t xml:space="preserve"> maksymalną możliwą obsadę zwierząt</w:t>
      </w:r>
      <w:r w:rsidR="002262AF">
        <w:t xml:space="preserve">, </w:t>
      </w:r>
      <w:r w:rsidR="002262AF" w:rsidRPr="002262AF">
        <w:t>umożliwiającą sumowanie różnych kategorii zwierząt gospodarskich do celów porównawczych, obliczaną przy pomocy współczynników dla poszczególnych kategorii zwierząt gospodarskich</w:t>
      </w:r>
      <w:r w:rsidR="002262AF">
        <w:t xml:space="preserve">; </w:t>
      </w:r>
      <w:r w:rsidR="002262AF" w:rsidRPr="002262AF">
        <w:t>współczynniki przeliczeniowe sztuk</w:t>
      </w:r>
      <w:r w:rsidR="002262AF">
        <w:t xml:space="preserve"> </w:t>
      </w:r>
      <w:r w:rsidR="002262AF" w:rsidRPr="002262AF">
        <w:t xml:space="preserve">zwierząt na </w:t>
      </w:r>
      <w:r w:rsidR="002262AF">
        <w:t>WPO</w:t>
      </w:r>
      <w:r w:rsidR="002262AF" w:rsidRPr="002262AF">
        <w:t xml:space="preserve"> są określone w załączniku</w:t>
      </w:r>
      <w:r w:rsidR="009C70FF">
        <w:t xml:space="preserve"> nr 2</w:t>
      </w:r>
      <w:r w:rsidR="002262AF" w:rsidRPr="002262AF">
        <w:t xml:space="preserve"> do rozporządzenia</w:t>
      </w:r>
      <w:r w:rsidR="002262AF">
        <w:t>.</w:t>
      </w:r>
    </w:p>
    <w:p w14:paraId="56C6F622" w14:textId="70748686" w:rsidR="00140247" w:rsidRDefault="00EB1316" w:rsidP="00B65794">
      <w:pPr>
        <w:pStyle w:val="ARTartustawynprozporzdzenia"/>
      </w:pPr>
      <w:r>
        <w:t xml:space="preserve">2. </w:t>
      </w:r>
      <w:r w:rsidR="00140247">
        <w:t xml:space="preserve">W </w:t>
      </w:r>
      <w:r w:rsidR="00FB0109">
        <w:t>przypadku instalacji położonych na terenie sąsiadujących zakładów</w:t>
      </w:r>
      <w:r w:rsidR="002C14E3">
        <w:t>,</w:t>
      </w:r>
      <w:r w:rsidR="00FB0109">
        <w:t xml:space="preserve"> jeżeli prowadzący instalacje pozostają w stosunku gospodarczym lub prawnym lub jeżeli między </w:t>
      </w:r>
      <w:r w:rsidR="002C14E3">
        <w:t xml:space="preserve">tymi </w:t>
      </w:r>
      <w:r w:rsidR="00FB0109">
        <w:t>instalacj</w:t>
      </w:r>
      <w:r w:rsidR="00B32E94">
        <w:t>ami</w:t>
      </w:r>
      <w:r w:rsidR="00FB0109">
        <w:t xml:space="preserve"> występuje powiązanie funkcjonalne</w:t>
      </w:r>
      <w:r w:rsidR="002043FE">
        <w:rPr>
          <w:rStyle w:val="IGindeksgrny"/>
        </w:rPr>
        <w:t>1)</w:t>
      </w:r>
      <w:r w:rsidR="00CB2A59">
        <w:t xml:space="preserve">, </w:t>
      </w:r>
      <w:r w:rsidR="002C14E3">
        <w:t xml:space="preserve">to </w:t>
      </w:r>
      <w:r w:rsidR="00CB2A59">
        <w:t>współczynnik</w:t>
      </w:r>
      <w:r w:rsidR="002C14E3">
        <w:t>i</w:t>
      </w:r>
      <w:r w:rsidR="00CB2A59">
        <w:t xml:space="preserve"> WPO</w:t>
      </w:r>
      <w:r w:rsidR="002C14E3">
        <w:t xml:space="preserve"> tych instalacji</w:t>
      </w:r>
      <w:r w:rsidR="00CB2A59">
        <w:t xml:space="preserve"> sumuje się</w:t>
      </w:r>
      <w:r w:rsidR="002C14E3">
        <w:t>.</w:t>
      </w:r>
      <w:r w:rsidR="00FB0109">
        <w:t xml:space="preserve"> </w:t>
      </w:r>
    </w:p>
    <w:p w14:paraId="571480D5" w14:textId="3D3C91F2" w:rsidR="00FB0109" w:rsidRDefault="00F833AD" w:rsidP="002262AF">
      <w:pPr>
        <w:pStyle w:val="ARTartustawynprozporzdzenia"/>
      </w:pPr>
      <w:r>
        <w:lastRenderedPageBreak/>
        <w:t>3</w:t>
      </w:r>
      <w:r w:rsidR="00B65794">
        <w:t xml:space="preserve">. </w:t>
      </w:r>
      <w:r w:rsidR="00FB0109">
        <w:t>Przepisy ust. 2 stosuje się odpowiednio</w:t>
      </w:r>
      <w:r>
        <w:t>,</w:t>
      </w:r>
      <w:r w:rsidR="00FB0109">
        <w:t xml:space="preserve"> jeżeli sąsiadujące zakłady prowadzi ten sam podmiot</w:t>
      </w:r>
      <w:r w:rsidR="00B65794">
        <w:t>.</w:t>
      </w:r>
    </w:p>
    <w:p w14:paraId="77A3B343" w14:textId="15F0A3F1" w:rsidR="005D67BA" w:rsidRDefault="00137F85" w:rsidP="00C73FD4">
      <w:pPr>
        <w:pStyle w:val="ARTartustawynprozporzdzenia"/>
      </w:pPr>
      <w:r>
        <w:rPr>
          <w:rFonts w:cs="Times"/>
        </w:rPr>
        <w:t>§</w:t>
      </w:r>
      <w:r>
        <w:t xml:space="preserve"> </w:t>
      </w:r>
      <w:r w:rsidR="002262AF">
        <w:t>4</w:t>
      </w:r>
      <w:r>
        <w:t>.  Rozporządzenie wchodzi w życie z dniem 1 lipca 2026 r.</w:t>
      </w:r>
    </w:p>
    <w:p w14:paraId="419D0D0E" w14:textId="0FA44C44" w:rsidR="00EC466C" w:rsidRDefault="00EC466C">
      <w:pPr>
        <w:widowControl/>
        <w:autoSpaceDE/>
        <w:autoSpaceDN/>
        <w:adjustRightInd/>
      </w:pPr>
      <w:r>
        <w:br w:type="page"/>
      </w:r>
    </w:p>
    <w:p w14:paraId="668DDBDF" w14:textId="54017EDA" w:rsidR="005D67BA" w:rsidRDefault="00B84A14" w:rsidP="00395BD6">
      <w:pPr>
        <w:pStyle w:val="OZNZACZNIKAwskazanienrzacznika"/>
      </w:pPr>
      <w:r>
        <w:lastRenderedPageBreak/>
        <w:t>Załącznik</w:t>
      </w:r>
      <w:r w:rsidR="00395BD6">
        <w:t>i</w:t>
      </w:r>
      <w:r>
        <w:t xml:space="preserve"> do rozporządzenia </w:t>
      </w:r>
    </w:p>
    <w:p w14:paraId="722D9580" w14:textId="1B796D91" w:rsidR="00137F85" w:rsidRDefault="00B84A14" w:rsidP="00395BD6">
      <w:pPr>
        <w:pStyle w:val="OZNZACZNIKAwskazanienrzacznika"/>
      </w:pPr>
      <w:r>
        <w:t>Ministra Klimatu i Środowiska</w:t>
      </w:r>
      <w:r w:rsidR="00395BD6">
        <w:t xml:space="preserve"> z dnia ……………….. (Dz. U. poz. …).</w:t>
      </w:r>
    </w:p>
    <w:p w14:paraId="1EE32764" w14:textId="77777777" w:rsidR="00395BD6" w:rsidRDefault="00395BD6" w:rsidP="00395BD6">
      <w:pPr>
        <w:pStyle w:val="OZNZACZNIKAwskazanienrzacznika"/>
      </w:pPr>
    </w:p>
    <w:p w14:paraId="220A6C74" w14:textId="77777777" w:rsidR="00395BD6" w:rsidRDefault="00395BD6" w:rsidP="00395BD6">
      <w:pPr>
        <w:pStyle w:val="OZNZACZNIKAwskazanienrzacznika"/>
      </w:pPr>
    </w:p>
    <w:p w14:paraId="6C996661" w14:textId="2E47C793" w:rsidR="00395BD6" w:rsidRPr="00B84A14" w:rsidRDefault="00395BD6" w:rsidP="00395BD6">
      <w:pPr>
        <w:pStyle w:val="OZNZACZNIKAwskazanienrzacznika"/>
      </w:pPr>
      <w:r>
        <w:t>Załącznik nr 1</w:t>
      </w:r>
    </w:p>
    <w:p w14:paraId="66A0FAC4" w14:textId="77777777" w:rsidR="005D67BA" w:rsidRDefault="005D67BA" w:rsidP="00137F85">
      <w:pPr>
        <w:pStyle w:val="TYTDZOZNoznaczenietytuulubdziau"/>
      </w:pPr>
    </w:p>
    <w:p w14:paraId="13A07DAB" w14:textId="1F60FB9A" w:rsidR="00137F85" w:rsidRDefault="00137F85" w:rsidP="00137F85">
      <w:pPr>
        <w:pStyle w:val="TYTDZOZNoznaczenietytuulubdziau"/>
      </w:pPr>
      <w:r>
        <w:t xml:space="preserve">rodzaje </w:t>
      </w:r>
      <w:r w:rsidR="00B84A14">
        <w:t>instalacji mogących powodować znaczne zanieczyszczenie poszczególnych elementów przyrodniczych albo środowiska jako całości</w:t>
      </w:r>
    </w:p>
    <w:p w14:paraId="5C0D4209" w14:textId="080244C6" w:rsidR="00B84A14" w:rsidRPr="00B84A14" w:rsidRDefault="00B84A14" w:rsidP="00B84A14">
      <w:pPr>
        <w:pStyle w:val="USTustnpkodeksu"/>
      </w:pPr>
      <w:r w:rsidRPr="00B84A14">
        <w:t>1</w:t>
      </w:r>
      <w:r>
        <w:t>.</w:t>
      </w:r>
      <w:r w:rsidRPr="00B84A14">
        <w:t xml:space="preserve"> Instalacje do wytwarzania energii i paliw:</w:t>
      </w:r>
    </w:p>
    <w:p w14:paraId="58D75DE1" w14:textId="7F6D3375" w:rsidR="00B84A14" w:rsidRPr="00B84A14" w:rsidRDefault="00B84A14" w:rsidP="00B84A14">
      <w:pPr>
        <w:pStyle w:val="PKTpunkt"/>
      </w:pPr>
      <w:r w:rsidRPr="00B84A14">
        <w:t>1)</w:t>
      </w:r>
      <w:r>
        <w:t xml:space="preserve"> </w:t>
      </w:r>
      <w:r w:rsidRPr="00B84A14">
        <w:t>do spalania paliw</w:t>
      </w:r>
      <w:r w:rsidR="002043FE">
        <w:rPr>
          <w:rStyle w:val="IGindeksgrny"/>
        </w:rPr>
        <w:t>2</w:t>
      </w:r>
      <w:r w:rsidR="00AC13B0" w:rsidRPr="00AD3078">
        <w:rPr>
          <w:rStyle w:val="IGindeksgrny"/>
        </w:rPr>
        <w:t>)</w:t>
      </w:r>
      <w:r w:rsidRPr="00B84A14">
        <w:t xml:space="preserve"> o nominalnej mocy</w:t>
      </w:r>
      <w:r w:rsidR="002043FE">
        <w:rPr>
          <w:rStyle w:val="IGindeksgrny"/>
        </w:rPr>
        <w:t>3</w:t>
      </w:r>
      <w:r w:rsidRPr="00AD3078">
        <w:rPr>
          <w:rStyle w:val="IGindeksgrny"/>
        </w:rPr>
        <w:t>)</w:t>
      </w:r>
      <w:r w:rsidRPr="00B84A14">
        <w:t xml:space="preserve"> nie mniejszej niż 50 MW;</w:t>
      </w:r>
    </w:p>
    <w:p w14:paraId="07747B87" w14:textId="10B36E8E" w:rsidR="00B84A14" w:rsidRPr="00B84A14" w:rsidRDefault="00B84A14" w:rsidP="00B84A14">
      <w:pPr>
        <w:pStyle w:val="PKTpunkt"/>
      </w:pPr>
      <w:r w:rsidRPr="00B84A14">
        <w:t>2)</w:t>
      </w:r>
      <w:r>
        <w:t xml:space="preserve"> </w:t>
      </w:r>
      <w:r w:rsidRPr="00B84A14">
        <w:t>do rafinacji ropy naftowej lub gazu;</w:t>
      </w:r>
    </w:p>
    <w:p w14:paraId="79CB30AC" w14:textId="273CB5F2" w:rsidR="00B84A14" w:rsidRPr="00B84A14" w:rsidRDefault="00B84A14" w:rsidP="00B84A14">
      <w:pPr>
        <w:pStyle w:val="PKTpunkt"/>
      </w:pPr>
      <w:r w:rsidRPr="00B84A14">
        <w:t>3)</w:t>
      </w:r>
      <w:r>
        <w:t xml:space="preserve"> </w:t>
      </w:r>
      <w:r w:rsidRPr="00B84A14">
        <w:t>do produkcji koksu;</w:t>
      </w:r>
    </w:p>
    <w:p w14:paraId="2B691D65" w14:textId="4ABCA073" w:rsidR="00B84A14" w:rsidRPr="00B84A14" w:rsidRDefault="00B84A14" w:rsidP="00B84A14">
      <w:pPr>
        <w:pStyle w:val="PKTpunkt"/>
      </w:pPr>
      <w:r w:rsidRPr="00B84A14">
        <w:t>4)</w:t>
      </w:r>
      <w:r>
        <w:t xml:space="preserve"> </w:t>
      </w:r>
      <w:r w:rsidRPr="00B84A14">
        <w:t>do zgazowania</w:t>
      </w:r>
      <w:r w:rsidR="00AC13B0">
        <w:t>,</w:t>
      </w:r>
      <w:r w:rsidRPr="00B84A14">
        <w:t xml:space="preserve"> upłynniania</w:t>
      </w:r>
      <w:r w:rsidR="00AC13B0">
        <w:t xml:space="preserve"> </w:t>
      </w:r>
      <w:r w:rsidR="00AC13B0" w:rsidRPr="00AC13B0">
        <w:rPr>
          <w:rStyle w:val="Ppogrubienie"/>
        </w:rPr>
        <w:t>lub pirolizy</w:t>
      </w:r>
      <w:r w:rsidRPr="00B84A14">
        <w:t>:</w:t>
      </w:r>
    </w:p>
    <w:p w14:paraId="6C181870" w14:textId="08099874" w:rsidR="00B84A14" w:rsidRPr="00B84A14" w:rsidRDefault="00B84A14" w:rsidP="00B84A14">
      <w:pPr>
        <w:pStyle w:val="LITlitera"/>
      </w:pPr>
      <w:r w:rsidRPr="00B84A14">
        <w:t>a)</w:t>
      </w:r>
      <w:r>
        <w:t xml:space="preserve"> </w:t>
      </w:r>
      <w:r w:rsidRPr="00B84A14">
        <w:t>węgla,</w:t>
      </w:r>
    </w:p>
    <w:p w14:paraId="6C62B57A" w14:textId="1B5C0538" w:rsidR="00B84A14" w:rsidRPr="00B84A14" w:rsidRDefault="00B84A14" w:rsidP="00B84A14">
      <w:pPr>
        <w:pStyle w:val="LITlitera"/>
      </w:pPr>
      <w:r w:rsidRPr="00B84A14">
        <w:t>b)</w:t>
      </w:r>
      <w:r>
        <w:t xml:space="preserve"> </w:t>
      </w:r>
      <w:r w:rsidRPr="00B84A14">
        <w:t>paliw innych niż wymienione w lit. a, o całkowitej nominalnej mocy</w:t>
      </w:r>
      <w:r w:rsidR="002043FE">
        <w:rPr>
          <w:rStyle w:val="IGindeksgrny"/>
        </w:rPr>
        <w:t>3</w:t>
      </w:r>
      <w:r w:rsidR="00AD3078">
        <w:rPr>
          <w:rStyle w:val="IGindeksgrny"/>
        </w:rPr>
        <w:t>)</w:t>
      </w:r>
      <w:r w:rsidRPr="00B84A14">
        <w:t xml:space="preserve"> nie mniejszej</w:t>
      </w:r>
      <w:r>
        <w:t xml:space="preserve"> </w:t>
      </w:r>
      <w:r w:rsidRPr="00B84A14">
        <w:t>niż 20 MW.</w:t>
      </w:r>
    </w:p>
    <w:p w14:paraId="21D8F3F2" w14:textId="3E19AD10" w:rsidR="00B84A14" w:rsidRPr="00B84A14" w:rsidRDefault="00B84A14" w:rsidP="00AC13B0">
      <w:pPr>
        <w:pStyle w:val="USTustnpkodeksu"/>
      </w:pPr>
      <w:r w:rsidRPr="00B84A14">
        <w:t>2</w:t>
      </w:r>
      <w:r>
        <w:t>.</w:t>
      </w:r>
      <w:r w:rsidRPr="00B84A14">
        <w:t xml:space="preserve"> Instalacje do produkcji i obróbki metali:</w:t>
      </w:r>
    </w:p>
    <w:p w14:paraId="4F0AB472" w14:textId="7B17056B" w:rsidR="00B84A14" w:rsidRPr="00B84A14" w:rsidRDefault="00B84A14" w:rsidP="00AC13B0">
      <w:pPr>
        <w:pStyle w:val="PKTpunkt"/>
      </w:pPr>
      <w:r w:rsidRPr="00B84A14">
        <w:t>1)</w:t>
      </w:r>
      <w:r>
        <w:t xml:space="preserve"> </w:t>
      </w:r>
      <w:r w:rsidRPr="00B84A14">
        <w:t xml:space="preserve">do </w:t>
      </w:r>
      <w:r w:rsidRPr="00AC13B0">
        <w:t>prażenia</w:t>
      </w:r>
      <w:r w:rsidRPr="00B84A14">
        <w:t xml:space="preserve"> lub spiekania rud metali, w tym rudy siarczkowej;</w:t>
      </w:r>
    </w:p>
    <w:p w14:paraId="27740508" w14:textId="3440F69B" w:rsidR="00B84A14" w:rsidRPr="00B84A14" w:rsidRDefault="00B84A14" w:rsidP="00AC13B0">
      <w:pPr>
        <w:pStyle w:val="PKTpunkt"/>
      </w:pPr>
      <w:r w:rsidRPr="00B84A14">
        <w:t>2)</w:t>
      </w:r>
      <w:r>
        <w:t xml:space="preserve"> </w:t>
      </w:r>
      <w:r w:rsidRPr="00B84A14">
        <w:t>do produkcji surówki żelaza lub stali surowej, pierwotny lub wtórny wytop, łącznie z ciągłym odlewaniem stali o zdolności produkcyjnej</w:t>
      </w:r>
      <w:r w:rsidR="002043FE">
        <w:rPr>
          <w:rStyle w:val="IGindeksgrny"/>
        </w:rPr>
        <w:t>4</w:t>
      </w:r>
      <w:r w:rsidRPr="00AD3078">
        <w:rPr>
          <w:rStyle w:val="IGindeksgrny"/>
        </w:rPr>
        <w:t>)</w:t>
      </w:r>
      <w:r w:rsidRPr="00B84A14">
        <w:t xml:space="preserve"> ponad 2,5 tony na godzinę;</w:t>
      </w:r>
    </w:p>
    <w:p w14:paraId="5D6DECC1" w14:textId="6E428BF4" w:rsidR="00B84A14" w:rsidRPr="00B84A14" w:rsidRDefault="00B84A14" w:rsidP="00AC13B0">
      <w:pPr>
        <w:pStyle w:val="PKTpunkt"/>
      </w:pPr>
      <w:r w:rsidRPr="00B84A14">
        <w:t>3)</w:t>
      </w:r>
      <w:r>
        <w:t xml:space="preserve"> </w:t>
      </w:r>
      <w:r w:rsidRPr="00B84A14">
        <w:t>do obróbki stali lub stopów żelaza:</w:t>
      </w:r>
    </w:p>
    <w:p w14:paraId="43B5F8D9" w14:textId="3B417A2A" w:rsidR="00B84A14" w:rsidRPr="00AC13B0" w:rsidRDefault="00B84A14" w:rsidP="00AC13B0">
      <w:pPr>
        <w:pStyle w:val="LITlitera"/>
      </w:pPr>
      <w:r w:rsidRPr="00B84A14">
        <w:t>a)</w:t>
      </w:r>
      <w:r>
        <w:t xml:space="preserve"> </w:t>
      </w:r>
      <w:r w:rsidRPr="00AC13B0">
        <w:t>przez walcowanie na gorąco o zdolności produkcyjnej</w:t>
      </w:r>
      <w:r w:rsidR="002043FE">
        <w:rPr>
          <w:rStyle w:val="IGindeksgrny"/>
        </w:rPr>
        <w:t>4</w:t>
      </w:r>
      <w:r w:rsidRPr="00AD3078">
        <w:rPr>
          <w:rStyle w:val="IGindeksgrny"/>
        </w:rPr>
        <w:t>)</w:t>
      </w:r>
      <w:r w:rsidRPr="00AC13B0">
        <w:t xml:space="preserve"> ponad 20 ton stali na godzinę,</w:t>
      </w:r>
    </w:p>
    <w:p w14:paraId="06EAA340" w14:textId="057AFF6B" w:rsidR="00A301D1" w:rsidRPr="004E6DEE" w:rsidRDefault="00A301D1" w:rsidP="00A301D1">
      <w:pPr>
        <w:pStyle w:val="LITlitera"/>
        <w:rPr>
          <w:rStyle w:val="Ppogrubienie"/>
        </w:rPr>
      </w:pPr>
      <w:r w:rsidRPr="004E6DEE">
        <w:rPr>
          <w:rStyle w:val="Ppogrubienie"/>
        </w:rPr>
        <w:t>aa) przez walcowanie na zimno o zdolności produkcyjnej ponad 10 ton stali na godzinę;</w:t>
      </w:r>
    </w:p>
    <w:p w14:paraId="3E5A0F81" w14:textId="478B837C" w:rsidR="00B84A14" w:rsidRPr="00AC13B0" w:rsidRDefault="00B84A14" w:rsidP="00AC13B0">
      <w:pPr>
        <w:pStyle w:val="LITlitera"/>
      </w:pPr>
      <w:r w:rsidRPr="00AC13B0">
        <w:t xml:space="preserve">b) kuźnie z młotami o energii przekraczającej 50 </w:t>
      </w:r>
      <w:proofErr w:type="spellStart"/>
      <w:r w:rsidRPr="00AC13B0">
        <w:t>kJ</w:t>
      </w:r>
      <w:proofErr w:type="spellEnd"/>
      <w:r w:rsidRPr="00AC13B0">
        <w:t xml:space="preserve"> na młot, </w:t>
      </w:r>
    </w:p>
    <w:p w14:paraId="7EDB2D0C" w14:textId="64C9406C" w:rsidR="00A301D1" w:rsidRPr="004E6DEE" w:rsidRDefault="00A301D1" w:rsidP="00A301D1">
      <w:pPr>
        <w:pStyle w:val="LITlitera"/>
        <w:rPr>
          <w:rStyle w:val="Ppogrubienie"/>
        </w:rPr>
      </w:pPr>
      <w:r w:rsidRPr="004E6DEE">
        <w:rPr>
          <w:rStyle w:val="Ppogrubienie"/>
        </w:rPr>
        <w:t>ba) kuźni</w:t>
      </w:r>
      <w:r w:rsidR="00BB6AFA" w:rsidRPr="004E6DEE">
        <w:rPr>
          <w:rStyle w:val="Ppogrubienie"/>
        </w:rPr>
        <w:t>e</w:t>
      </w:r>
      <w:r w:rsidRPr="004E6DEE">
        <w:rPr>
          <w:rStyle w:val="Ppogrubienie"/>
        </w:rPr>
        <w:t xml:space="preserve"> z prasami kuźniczymi o sile nacisku p</w:t>
      </w:r>
      <w:r w:rsidR="00BB6AFA" w:rsidRPr="004E6DEE">
        <w:rPr>
          <w:rStyle w:val="Ppogrubienie"/>
        </w:rPr>
        <w:t>onad</w:t>
      </w:r>
      <w:r w:rsidRPr="004E6DEE">
        <w:rPr>
          <w:rStyle w:val="Ppogrubienie"/>
        </w:rPr>
        <w:t xml:space="preserve"> 30 </w:t>
      </w:r>
      <w:r w:rsidR="004E6DEE" w:rsidRPr="004E6DEE">
        <w:rPr>
          <w:rStyle w:val="Ppogrubienie"/>
        </w:rPr>
        <w:t>M</w:t>
      </w:r>
      <w:r w:rsidR="00BB6AFA" w:rsidRPr="004E6DEE">
        <w:rPr>
          <w:rStyle w:val="Ppogrubienie"/>
        </w:rPr>
        <w:t>N</w:t>
      </w:r>
      <w:r w:rsidRPr="004E6DEE">
        <w:rPr>
          <w:rStyle w:val="Ppogrubienie"/>
        </w:rPr>
        <w:t xml:space="preserve"> na prasę;</w:t>
      </w:r>
    </w:p>
    <w:p w14:paraId="5FB48537" w14:textId="6F879E52" w:rsidR="00B84A14" w:rsidRDefault="00B84A14" w:rsidP="00AC13B0">
      <w:pPr>
        <w:pStyle w:val="LITlitera"/>
      </w:pPr>
      <w:r w:rsidRPr="00AC13B0">
        <w:t>c) do nakładania powłok metalicznych z wsadem przekraczającym 2 tony wyrobów stalowych</w:t>
      </w:r>
      <w:r w:rsidRPr="00B84A14">
        <w:t xml:space="preserve"> na godzinę;</w:t>
      </w:r>
    </w:p>
    <w:p w14:paraId="3CC4E894" w14:textId="59F87FA3" w:rsidR="00B84A14" w:rsidRPr="00B84A14" w:rsidRDefault="00B84A14" w:rsidP="00B84A14">
      <w:pPr>
        <w:pStyle w:val="PKTpunkt"/>
      </w:pPr>
      <w:r w:rsidRPr="00B84A14">
        <w:t>4)</w:t>
      </w:r>
      <w:r>
        <w:t xml:space="preserve"> </w:t>
      </w:r>
      <w:r w:rsidRPr="00B84A14">
        <w:t>do odlewania stali lub stopów żelaza o zdolności produkcyjnej</w:t>
      </w:r>
      <w:r w:rsidR="002043FE">
        <w:rPr>
          <w:rStyle w:val="IGindeksgrny"/>
        </w:rPr>
        <w:t>4</w:t>
      </w:r>
      <w:r w:rsidRPr="00AD3078">
        <w:rPr>
          <w:rStyle w:val="IGindeksgrny"/>
        </w:rPr>
        <w:t>)</w:t>
      </w:r>
      <w:r w:rsidRPr="00B84A14">
        <w:t xml:space="preserve"> ponad 20 ton wytopu na dobę;</w:t>
      </w:r>
    </w:p>
    <w:p w14:paraId="55909896" w14:textId="00235EB8" w:rsidR="00B84A14" w:rsidRPr="00B84A14" w:rsidRDefault="00B84A14" w:rsidP="00B84A14">
      <w:pPr>
        <w:pStyle w:val="PKTpunkt"/>
      </w:pPr>
      <w:r w:rsidRPr="00B84A14">
        <w:lastRenderedPageBreak/>
        <w:t>5)</w:t>
      </w:r>
      <w:r>
        <w:t xml:space="preserve"> </w:t>
      </w:r>
      <w:r w:rsidRPr="00B84A14">
        <w:t>do produkcji metali nieżelaznych z rud metali, koncentratów lub surowców wtórnych w wyniku procesów metalurgicznych, chemicznych lub elektrolitycznych;</w:t>
      </w:r>
    </w:p>
    <w:p w14:paraId="0DA1D97C" w14:textId="2D457D03" w:rsidR="00B84A14" w:rsidRPr="00B84A14" w:rsidRDefault="00B84A14" w:rsidP="00B84A14">
      <w:pPr>
        <w:pStyle w:val="PKTpunkt"/>
      </w:pPr>
      <w:r w:rsidRPr="00B84A14">
        <w:t>6)</w:t>
      </w:r>
      <w:r>
        <w:t xml:space="preserve"> </w:t>
      </w:r>
      <w:r w:rsidRPr="00B84A14">
        <w:t xml:space="preserve">do topienia, łącznie ze stapianiem, metali nieżelaznych, w tym produktów z </w:t>
      </w:r>
      <w:r w:rsidR="00056859" w:rsidRPr="00B84A14">
        <w:t>odzysku</w:t>
      </w:r>
      <w:r w:rsidR="00056859">
        <w:t>,</w:t>
      </w:r>
      <w:r w:rsidRPr="00B84A14">
        <w:t xml:space="preserve"> lub odlewania metali nieżelaznych, o zdolności produkcyjnej</w:t>
      </w:r>
      <w:r w:rsidR="002043FE">
        <w:rPr>
          <w:rStyle w:val="IGindeksgrny"/>
        </w:rPr>
        <w:t>4</w:t>
      </w:r>
      <w:r w:rsidRPr="00AD3078">
        <w:rPr>
          <w:rStyle w:val="IGindeksgrny"/>
        </w:rPr>
        <w:t>)</w:t>
      </w:r>
      <w:r w:rsidRPr="00B84A14">
        <w:t xml:space="preserve"> przekraczającej 4 tony wytopu na dobę dla ołowiu i kadmu lub 20 ton wytopu na dobę dla pozostałych metali;</w:t>
      </w:r>
    </w:p>
    <w:p w14:paraId="315CBC07" w14:textId="5127F6D6" w:rsidR="00B84A14" w:rsidRDefault="00B84A14" w:rsidP="00AC13B0">
      <w:pPr>
        <w:pStyle w:val="PKTpunkt"/>
      </w:pPr>
      <w:r w:rsidRPr="00B84A14">
        <w:t>7)</w:t>
      </w:r>
      <w:r>
        <w:t xml:space="preserve"> </w:t>
      </w:r>
      <w:r w:rsidRPr="00B84A14">
        <w:t xml:space="preserve">do </w:t>
      </w:r>
      <w:r w:rsidRPr="00AC13B0">
        <w:t>powierzchniowej</w:t>
      </w:r>
      <w:r w:rsidRPr="00B84A14">
        <w:t xml:space="preserve"> obróbki metali lub materiałów z tworzyw sztucznych z </w:t>
      </w:r>
      <w:r>
        <w:t>w</w:t>
      </w:r>
      <w:r w:rsidRPr="00B84A14">
        <w:t>ykorzystaniem procesów elektrolitycznych lub chemicznych, gdzie całkowita pojemność wanien procesowych przekracza 30 m</w:t>
      </w:r>
      <w:r w:rsidRPr="00AD3078">
        <w:rPr>
          <w:rStyle w:val="IGindeksgrny"/>
        </w:rPr>
        <w:t>3</w:t>
      </w:r>
      <w:r w:rsidR="004E6DEE">
        <w:t>;</w:t>
      </w:r>
    </w:p>
    <w:p w14:paraId="6968B563" w14:textId="7D2D9DBF" w:rsidR="004E6DEE" w:rsidRPr="00613A1E" w:rsidRDefault="004E6DEE" w:rsidP="004E6DEE">
      <w:pPr>
        <w:pStyle w:val="PKTpunkt"/>
        <w:rPr>
          <w:rStyle w:val="Ppogrubienie"/>
        </w:rPr>
      </w:pPr>
      <w:r w:rsidRPr="00613A1E">
        <w:rPr>
          <w:rStyle w:val="Ppogrubienie"/>
        </w:rPr>
        <w:t>8) do wytwarzania baterii, innego niż wyłącznie montaż, o zdolności produkcyjnej co najmniej 15 000 ton ogniw baterii (katoda, anoda, elektrolit, separator, osłona) rocznie.</w:t>
      </w:r>
    </w:p>
    <w:p w14:paraId="4DA61FCD" w14:textId="726AB5AE" w:rsidR="00B84A14" w:rsidRPr="00B84A14" w:rsidRDefault="00B84A14" w:rsidP="00B84A14">
      <w:pPr>
        <w:pStyle w:val="USTustnpkodeksu"/>
      </w:pPr>
      <w:r w:rsidRPr="00B84A14">
        <w:t>3</w:t>
      </w:r>
      <w:r>
        <w:t>.</w:t>
      </w:r>
      <w:r w:rsidRPr="00B84A14">
        <w:t xml:space="preserve"> Instalacje w przemyśle mineralnym:</w:t>
      </w:r>
    </w:p>
    <w:p w14:paraId="2D6BE0F0" w14:textId="08583B95" w:rsidR="00B84A14" w:rsidRPr="00B84A14" w:rsidRDefault="00B84A14" w:rsidP="00AC13B0">
      <w:pPr>
        <w:pStyle w:val="PKTpunkt"/>
      </w:pPr>
      <w:r w:rsidRPr="00B84A14">
        <w:t>1)</w:t>
      </w:r>
      <w:r>
        <w:t xml:space="preserve"> </w:t>
      </w:r>
      <w:r w:rsidRPr="00B84A14">
        <w:t>do produkcji:</w:t>
      </w:r>
    </w:p>
    <w:p w14:paraId="24BB1B11" w14:textId="02A9CE35" w:rsidR="00B84A14" w:rsidRPr="00B84A14" w:rsidRDefault="00B84A14" w:rsidP="00AC13B0">
      <w:pPr>
        <w:pStyle w:val="LITlitera"/>
      </w:pPr>
      <w:r w:rsidRPr="00B84A14">
        <w:t>a)</w:t>
      </w:r>
      <w:r>
        <w:t xml:space="preserve"> </w:t>
      </w:r>
      <w:r w:rsidRPr="00B84A14">
        <w:t>klinkieru cementowego w piecach obrotowych o zdolności produkcyjnej</w:t>
      </w:r>
      <w:r w:rsidR="002043FE">
        <w:rPr>
          <w:rStyle w:val="IGindeksgrny"/>
        </w:rPr>
        <w:t>4</w:t>
      </w:r>
      <w:r w:rsidRPr="00AD3078">
        <w:rPr>
          <w:rStyle w:val="IGindeksgrny"/>
        </w:rPr>
        <w:t>)</w:t>
      </w:r>
      <w:r w:rsidRPr="00B84A14">
        <w:t xml:space="preserve"> ponad 500 ton na dobę lub w innych piecach o zdolności produkcyjnej</w:t>
      </w:r>
      <w:r w:rsidR="002043FE">
        <w:rPr>
          <w:rStyle w:val="IGindeksgrny"/>
        </w:rPr>
        <w:t>4</w:t>
      </w:r>
      <w:r w:rsidRPr="00AD3078">
        <w:rPr>
          <w:rStyle w:val="IGindeksgrny"/>
        </w:rPr>
        <w:t>)</w:t>
      </w:r>
      <w:r w:rsidRPr="00B84A14">
        <w:t xml:space="preserve"> ponad 50 ton na dobę,</w:t>
      </w:r>
    </w:p>
    <w:p w14:paraId="5619BDB6" w14:textId="4758812C" w:rsidR="00B84A14" w:rsidRPr="00B84A14" w:rsidRDefault="00B84A14" w:rsidP="00AC13B0">
      <w:pPr>
        <w:pStyle w:val="LITlitera"/>
      </w:pPr>
      <w:r w:rsidRPr="00B84A14">
        <w:t>b)</w:t>
      </w:r>
      <w:r>
        <w:t xml:space="preserve"> </w:t>
      </w:r>
      <w:r w:rsidRPr="00B84A14">
        <w:t>wapna w piecach o zdolności produkcyjnej</w:t>
      </w:r>
      <w:r w:rsidR="002043FE">
        <w:rPr>
          <w:rStyle w:val="IGindeksgrny"/>
        </w:rPr>
        <w:t>4</w:t>
      </w:r>
      <w:r w:rsidRPr="00AD3078">
        <w:rPr>
          <w:rStyle w:val="IGindeksgrny"/>
        </w:rPr>
        <w:t>)</w:t>
      </w:r>
      <w:r w:rsidRPr="00B84A14">
        <w:t xml:space="preserve"> ponad 50 ton na dobę,</w:t>
      </w:r>
    </w:p>
    <w:p w14:paraId="0E8CC91B" w14:textId="29605E7D" w:rsidR="00B84A14" w:rsidRPr="00B84A14" w:rsidRDefault="00B84A14" w:rsidP="00AC13B0">
      <w:pPr>
        <w:pStyle w:val="LITlitera"/>
      </w:pPr>
      <w:r w:rsidRPr="00B84A14">
        <w:t>c)</w:t>
      </w:r>
      <w:r>
        <w:t xml:space="preserve"> </w:t>
      </w:r>
      <w:r w:rsidRPr="00B84A14">
        <w:t>tlenku magnezu w piecach o zdolności produkcyjnej</w:t>
      </w:r>
      <w:r w:rsidR="002043FE">
        <w:rPr>
          <w:rStyle w:val="IGindeksgrny"/>
        </w:rPr>
        <w:t>4</w:t>
      </w:r>
      <w:r w:rsidRPr="00CE0104">
        <w:rPr>
          <w:rStyle w:val="IGindeksgrny"/>
        </w:rPr>
        <w:t>)</w:t>
      </w:r>
      <w:r w:rsidRPr="00B84A14">
        <w:t xml:space="preserve"> ponad 50 ton na dobę;</w:t>
      </w:r>
    </w:p>
    <w:p w14:paraId="41226E6F" w14:textId="15273F96" w:rsidR="00B84A14" w:rsidRPr="00B84A14" w:rsidRDefault="00B84A14" w:rsidP="00AC13B0">
      <w:pPr>
        <w:pStyle w:val="PKTpunkt"/>
      </w:pPr>
      <w:r w:rsidRPr="00B84A14">
        <w:t>2)</w:t>
      </w:r>
      <w:r>
        <w:t xml:space="preserve"> </w:t>
      </w:r>
      <w:r w:rsidRPr="00B84A14">
        <w:t>do wytwarzania produktów z azbestu lub produktów zawierających azbest;</w:t>
      </w:r>
    </w:p>
    <w:p w14:paraId="73CEE530" w14:textId="7115A24C" w:rsidR="00B84A14" w:rsidRPr="00B84A14" w:rsidRDefault="00B84A14" w:rsidP="00AC13B0">
      <w:pPr>
        <w:pStyle w:val="PKTpunkt"/>
      </w:pPr>
      <w:r w:rsidRPr="00B84A14">
        <w:t>3)</w:t>
      </w:r>
      <w:r>
        <w:t xml:space="preserve"> </w:t>
      </w:r>
      <w:r w:rsidRPr="00B84A14">
        <w:t>do produkcji szkła, w tym włókna szklanego, o zdolności produkcyjnej</w:t>
      </w:r>
      <w:r w:rsidR="002043FE">
        <w:rPr>
          <w:rStyle w:val="IGindeksgrny"/>
        </w:rPr>
        <w:t>4</w:t>
      </w:r>
      <w:r w:rsidRPr="002830EA">
        <w:rPr>
          <w:rStyle w:val="IGindeksgrny"/>
        </w:rPr>
        <w:t>)</w:t>
      </w:r>
      <w:r w:rsidRPr="00B84A14">
        <w:t xml:space="preserve"> ponad 20 ton wytopu na dobę;</w:t>
      </w:r>
    </w:p>
    <w:p w14:paraId="78FBF70B" w14:textId="660022FC" w:rsidR="00B84A14" w:rsidRPr="00B84A14" w:rsidRDefault="00B84A14" w:rsidP="00AC13B0">
      <w:pPr>
        <w:pStyle w:val="PKTpunkt"/>
      </w:pPr>
      <w:r w:rsidRPr="00B84A14">
        <w:t>4)</w:t>
      </w:r>
      <w:r w:rsidR="00047D94">
        <w:t xml:space="preserve"> </w:t>
      </w:r>
      <w:r w:rsidRPr="00B84A14">
        <w:t>do wytapiania substancji mineralnych, w tym produkcji włókien mineralnych, o zdolności produkcyjnej</w:t>
      </w:r>
      <w:r w:rsidR="002043FE">
        <w:rPr>
          <w:rStyle w:val="IGindeksgrny"/>
        </w:rPr>
        <w:t>4</w:t>
      </w:r>
      <w:r w:rsidRPr="002830EA">
        <w:rPr>
          <w:rStyle w:val="IGindeksgrny"/>
        </w:rPr>
        <w:t>)</w:t>
      </w:r>
      <w:r w:rsidRPr="00B84A14">
        <w:t xml:space="preserve"> ponad 20 ton wytopu na dobę;</w:t>
      </w:r>
    </w:p>
    <w:p w14:paraId="69ECBFD2" w14:textId="2E4B149C" w:rsidR="00B84A14" w:rsidRDefault="00B84A14" w:rsidP="00613A1E">
      <w:pPr>
        <w:pStyle w:val="PKTpunkt"/>
        <w:rPr>
          <w:rStyle w:val="Ppogrubienie"/>
        </w:rPr>
      </w:pPr>
      <w:r w:rsidRPr="00B84A14">
        <w:t>5)</w:t>
      </w:r>
      <w:r w:rsidR="00047D94">
        <w:t xml:space="preserve"> </w:t>
      </w:r>
      <w:r w:rsidRPr="00B84A14">
        <w:t>do produkcji wyrobów ceramicznych za pomocą wypalania o zdolności produkcyjnej</w:t>
      </w:r>
      <w:r w:rsidR="002043FE">
        <w:rPr>
          <w:rStyle w:val="IGindeksgrny"/>
        </w:rPr>
        <w:t>4</w:t>
      </w:r>
      <w:r w:rsidRPr="002830EA">
        <w:rPr>
          <w:rStyle w:val="IGindeksgrny"/>
        </w:rPr>
        <w:t>)</w:t>
      </w:r>
      <w:r w:rsidRPr="00B84A14">
        <w:t xml:space="preserve"> ponad 75 ton na dobę</w:t>
      </w:r>
      <w:r w:rsidR="00B65794">
        <w:rPr>
          <w:rStyle w:val="Ppogrubienie"/>
        </w:rPr>
        <w:t>;</w:t>
      </w:r>
    </w:p>
    <w:p w14:paraId="4AB81FD5" w14:textId="3F46D9BF" w:rsidR="00613A1E" w:rsidRPr="00613A1E" w:rsidRDefault="00613A1E" w:rsidP="00613A1E">
      <w:pPr>
        <w:pStyle w:val="PKTpunkt"/>
      </w:pPr>
      <w:r>
        <w:rPr>
          <w:rStyle w:val="Ppogrubienie"/>
        </w:rPr>
        <w:t>6) do w</w:t>
      </w:r>
      <w:r w:rsidRPr="00613A1E">
        <w:rPr>
          <w:rStyle w:val="Ppogrubienie"/>
        </w:rPr>
        <w:t>ydobyci</w:t>
      </w:r>
      <w:r>
        <w:rPr>
          <w:rStyle w:val="Ppogrubienie"/>
        </w:rPr>
        <w:t>a</w:t>
      </w:r>
      <w:r w:rsidRPr="00613A1E">
        <w:rPr>
          <w:rStyle w:val="Ppogrubienie"/>
        </w:rPr>
        <w:t>, w tym przetwarzani</w:t>
      </w:r>
      <w:r>
        <w:rPr>
          <w:rStyle w:val="Ppogrubienie"/>
        </w:rPr>
        <w:t>a</w:t>
      </w:r>
      <w:r w:rsidRPr="00613A1E">
        <w:rPr>
          <w:rStyle w:val="Ppogrubienie"/>
        </w:rPr>
        <w:t xml:space="preserve"> na miejscu, takie</w:t>
      </w:r>
      <w:r>
        <w:rPr>
          <w:rStyle w:val="Ppogrubienie"/>
        </w:rPr>
        <w:t>go</w:t>
      </w:r>
      <w:r w:rsidRPr="00613A1E">
        <w:rPr>
          <w:rStyle w:val="Ppogrubienie"/>
        </w:rPr>
        <w:t xml:space="preserve"> jak rozdrabnianie, kontrola wielkości, wzbogacanie</w:t>
      </w:r>
      <w:r>
        <w:rPr>
          <w:rStyle w:val="Ppogrubienie"/>
        </w:rPr>
        <w:t xml:space="preserve"> </w:t>
      </w:r>
      <w:r w:rsidRPr="00613A1E">
        <w:rPr>
          <w:rStyle w:val="Ppogrubienie"/>
        </w:rPr>
        <w:t xml:space="preserve">i uszlachetnianie, </w:t>
      </w:r>
      <w:r w:rsidRPr="00613A1E">
        <w:rPr>
          <w:rStyle w:val="Ppogrubienie"/>
          <w:b w:val="0"/>
        </w:rPr>
        <w:t>następujących</w:t>
      </w:r>
      <w:r w:rsidRPr="00613A1E">
        <w:rPr>
          <w:rStyle w:val="Ppogrubienie"/>
        </w:rPr>
        <w:t xml:space="preserve"> rud na skalę przemysłową:</w:t>
      </w:r>
      <w:r>
        <w:rPr>
          <w:rStyle w:val="Ppogrubienie"/>
        </w:rPr>
        <w:t xml:space="preserve"> </w:t>
      </w:r>
      <w:r w:rsidRPr="00613A1E">
        <w:rPr>
          <w:rStyle w:val="Ppogrubienie"/>
        </w:rPr>
        <w:t>boksyt, chrom, kobalt, miedź, złoto, żelazo, ołów, lit, mangan, nikiel, pallad, platyna, cyna, wolfram i cynk</w:t>
      </w:r>
    </w:p>
    <w:p w14:paraId="3A87BA39" w14:textId="6891B26B" w:rsidR="00B84A14" w:rsidRPr="00B84A14" w:rsidRDefault="00B84A14" w:rsidP="00AC13B0">
      <w:pPr>
        <w:pStyle w:val="USTustnpkodeksu"/>
      </w:pPr>
      <w:r w:rsidRPr="00B84A14">
        <w:t>4</w:t>
      </w:r>
      <w:r w:rsidR="00047D94">
        <w:t>.</w:t>
      </w:r>
      <w:r w:rsidRPr="00B84A14">
        <w:t xml:space="preserve"> Instalacje w przemyśle chemicznym do wytwarzania, przy zastosowaniu procesów chemicznych lub biologicznych:</w:t>
      </w:r>
    </w:p>
    <w:p w14:paraId="0E6E415A" w14:textId="3CEEAF81" w:rsidR="00B84A14" w:rsidRPr="00B84A14" w:rsidRDefault="00B84A14" w:rsidP="00AC13B0">
      <w:pPr>
        <w:pStyle w:val="PKTpunkt"/>
      </w:pPr>
      <w:r w:rsidRPr="00B84A14">
        <w:t>1)</w:t>
      </w:r>
      <w:r w:rsidR="00047D94">
        <w:t xml:space="preserve"> </w:t>
      </w:r>
      <w:r w:rsidRPr="00B84A14">
        <w:t>organicznych substancji chemicznych:</w:t>
      </w:r>
    </w:p>
    <w:p w14:paraId="1258AABC" w14:textId="5DD39637" w:rsidR="00B84A14" w:rsidRPr="00B84A14" w:rsidRDefault="00B84A14" w:rsidP="00AC13B0">
      <w:pPr>
        <w:pStyle w:val="LITlitera"/>
      </w:pPr>
      <w:r w:rsidRPr="00B84A14">
        <w:t>a)</w:t>
      </w:r>
      <w:r w:rsidR="00047D94">
        <w:t xml:space="preserve"> </w:t>
      </w:r>
      <w:r w:rsidRPr="00B84A14">
        <w:t>węglowodorów,</w:t>
      </w:r>
    </w:p>
    <w:p w14:paraId="3DE692F9" w14:textId="5F0FE019" w:rsidR="00B84A14" w:rsidRPr="00B84A14" w:rsidRDefault="00B84A14" w:rsidP="00AC13B0">
      <w:pPr>
        <w:pStyle w:val="LITlitera"/>
      </w:pPr>
      <w:r w:rsidRPr="00B84A14">
        <w:lastRenderedPageBreak/>
        <w:t>b)</w:t>
      </w:r>
      <w:r w:rsidR="00047D94">
        <w:t xml:space="preserve"> </w:t>
      </w:r>
      <w:r w:rsidRPr="00B84A14">
        <w:t>pochodnych węglowodorów, zawierających tlen, takich jak: alkohole, aldehydy, ketony, kwasy karboksylowe, estry, sole kwasów karboksylowych, etery, nadtlenki, żywice epoksydowe,</w:t>
      </w:r>
    </w:p>
    <w:p w14:paraId="2E60704D" w14:textId="626A89BB" w:rsidR="00B84A14" w:rsidRPr="00B84A14" w:rsidRDefault="00B84A14" w:rsidP="00AC13B0">
      <w:pPr>
        <w:pStyle w:val="LITlitera"/>
      </w:pPr>
      <w:r w:rsidRPr="00B84A14">
        <w:t>c)</w:t>
      </w:r>
      <w:r w:rsidR="00047D94">
        <w:t xml:space="preserve"> </w:t>
      </w:r>
      <w:r w:rsidRPr="00B84A14">
        <w:t>pochodnych węglowodorów, zawierających azot, takich jak: aminy, amidy, nitrozwiązki lub azotany, nitryle, cyjaniany, izocyjanki,</w:t>
      </w:r>
    </w:p>
    <w:p w14:paraId="3EC2DCFE" w14:textId="3334D490" w:rsidR="00B84A14" w:rsidRPr="00B84A14" w:rsidRDefault="00B84A14" w:rsidP="00AC13B0">
      <w:pPr>
        <w:pStyle w:val="LITlitera"/>
      </w:pPr>
      <w:r w:rsidRPr="00B84A14">
        <w:t>d)</w:t>
      </w:r>
      <w:r w:rsidR="00047D94">
        <w:t xml:space="preserve"> </w:t>
      </w:r>
      <w:r w:rsidRPr="00B84A14">
        <w:t>pochodnych węglowodorów, zawierających fosfor,</w:t>
      </w:r>
    </w:p>
    <w:p w14:paraId="528EAA04" w14:textId="6FCB032C" w:rsidR="00B84A14" w:rsidRPr="00B84A14" w:rsidRDefault="00B84A14" w:rsidP="00AC13B0">
      <w:pPr>
        <w:pStyle w:val="LITlitera"/>
      </w:pPr>
      <w:r w:rsidRPr="00B84A14">
        <w:t>e)</w:t>
      </w:r>
      <w:r w:rsidR="00047D94">
        <w:t xml:space="preserve"> </w:t>
      </w:r>
      <w:r w:rsidRPr="00B84A14">
        <w:t>pochodnych węglowodorów, zawierających siarkę,</w:t>
      </w:r>
    </w:p>
    <w:p w14:paraId="6C66AF53" w14:textId="3A5F443A" w:rsidR="00B84A14" w:rsidRPr="00B84A14" w:rsidRDefault="00B84A14" w:rsidP="00AC13B0">
      <w:pPr>
        <w:pStyle w:val="LITlitera"/>
      </w:pPr>
      <w:r w:rsidRPr="00B84A14">
        <w:t>f)</w:t>
      </w:r>
      <w:r w:rsidR="00047D94">
        <w:t xml:space="preserve"> </w:t>
      </w:r>
      <w:r w:rsidRPr="00B84A14">
        <w:t>pochodnych węglowodorów, zawierających fluorowce,</w:t>
      </w:r>
    </w:p>
    <w:p w14:paraId="3651D13D" w14:textId="071E093F" w:rsidR="00B84A14" w:rsidRPr="00B84A14" w:rsidRDefault="00B84A14" w:rsidP="00AC13B0">
      <w:pPr>
        <w:pStyle w:val="LITlitera"/>
      </w:pPr>
      <w:r w:rsidRPr="00B84A14">
        <w:t>g)</w:t>
      </w:r>
      <w:r w:rsidR="00047D94">
        <w:t xml:space="preserve"> </w:t>
      </w:r>
      <w:r w:rsidRPr="00B84A14">
        <w:t>związków metaloorganicznych,</w:t>
      </w:r>
    </w:p>
    <w:p w14:paraId="3073A5C1" w14:textId="379510FD" w:rsidR="00B84A14" w:rsidRPr="00B84A14" w:rsidRDefault="00B84A14" w:rsidP="00AC13B0">
      <w:pPr>
        <w:pStyle w:val="LITlitera"/>
      </w:pPr>
      <w:r w:rsidRPr="00B84A14">
        <w:t>h)</w:t>
      </w:r>
      <w:r w:rsidR="00047D94">
        <w:t xml:space="preserve"> </w:t>
      </w:r>
      <w:r w:rsidRPr="00B84A14">
        <w:t>tworzyw sztucznych, takich jak: polimery, syntetyczne włókna polimerowe i włókna oparte na celulozie,</w:t>
      </w:r>
    </w:p>
    <w:p w14:paraId="3059A16C" w14:textId="274BF414" w:rsidR="00B84A14" w:rsidRPr="00B84A14" w:rsidRDefault="00B84A14" w:rsidP="00AC13B0">
      <w:pPr>
        <w:pStyle w:val="LITlitera"/>
      </w:pPr>
      <w:r w:rsidRPr="00B84A14">
        <w:t>i)</w:t>
      </w:r>
      <w:r w:rsidR="00047D94">
        <w:t xml:space="preserve"> </w:t>
      </w:r>
      <w:r w:rsidRPr="00B84A14">
        <w:t>kauczuków syntetycznych,</w:t>
      </w:r>
    </w:p>
    <w:p w14:paraId="023D3A76" w14:textId="4059EE50" w:rsidR="00B84A14" w:rsidRPr="00B84A14" w:rsidRDefault="00B84A14" w:rsidP="00AC13B0">
      <w:pPr>
        <w:pStyle w:val="LITlitera"/>
      </w:pPr>
      <w:r w:rsidRPr="00B84A14">
        <w:t>j)</w:t>
      </w:r>
      <w:r w:rsidR="00047D94">
        <w:t xml:space="preserve"> </w:t>
      </w:r>
      <w:r w:rsidRPr="00B84A14">
        <w:t>barwników i pigmentów,</w:t>
      </w:r>
    </w:p>
    <w:p w14:paraId="34579CDA" w14:textId="20B846AD" w:rsidR="00B84A14" w:rsidRPr="00B84A14" w:rsidRDefault="00B84A14" w:rsidP="00AC13B0">
      <w:pPr>
        <w:pStyle w:val="LITlitera"/>
      </w:pPr>
      <w:r w:rsidRPr="00B84A14">
        <w:t>k)</w:t>
      </w:r>
      <w:r w:rsidR="00047D94">
        <w:t xml:space="preserve"> </w:t>
      </w:r>
      <w:r w:rsidRPr="00B84A14">
        <w:t>środków powierzchniowo czynnych,</w:t>
      </w:r>
    </w:p>
    <w:p w14:paraId="632BD965" w14:textId="2F741BD1" w:rsidR="00B84A14" w:rsidRPr="00B84A14" w:rsidRDefault="00B84A14" w:rsidP="00AC13B0">
      <w:pPr>
        <w:pStyle w:val="LITlitera"/>
      </w:pPr>
      <w:r w:rsidRPr="00B84A14">
        <w:t>l)</w:t>
      </w:r>
      <w:r w:rsidR="00047D94">
        <w:t xml:space="preserve"> </w:t>
      </w:r>
      <w:r w:rsidRPr="00B84A14">
        <w:t>innych niż wymienione w lit. a-k;</w:t>
      </w:r>
    </w:p>
    <w:p w14:paraId="446C457E" w14:textId="2884B94E" w:rsidR="00B84A14" w:rsidRPr="00B84A14" w:rsidRDefault="00B84A14" w:rsidP="00AC13B0">
      <w:pPr>
        <w:pStyle w:val="PKTpunkt"/>
      </w:pPr>
      <w:r w:rsidRPr="00B84A14">
        <w:t>2)</w:t>
      </w:r>
      <w:r w:rsidR="00047D94">
        <w:t xml:space="preserve"> </w:t>
      </w:r>
      <w:r w:rsidRPr="00B84A14">
        <w:t>nieorganicznych substancji chemicznych:</w:t>
      </w:r>
    </w:p>
    <w:p w14:paraId="50407F1C" w14:textId="66911C7F" w:rsidR="00B84A14" w:rsidRPr="00B84A14" w:rsidRDefault="00B84A14" w:rsidP="00AC13B0">
      <w:pPr>
        <w:pStyle w:val="LITlitera"/>
      </w:pPr>
      <w:r w:rsidRPr="00B84A14">
        <w:t>a)</w:t>
      </w:r>
      <w:r w:rsidR="00047D94">
        <w:t xml:space="preserve"> </w:t>
      </w:r>
      <w:r w:rsidRPr="00B84A14">
        <w:t>gazów, takich jak: amoniak, chlor lub chlorowodór, fluor lub fluorowodór, tlenki węgla, związki siarki, tlenki azotu, wodór</w:t>
      </w:r>
      <w:r w:rsidR="00613A1E">
        <w:t>,</w:t>
      </w:r>
      <w:r w:rsidR="00613A1E" w:rsidRPr="00613A1E">
        <w:rPr>
          <w:rStyle w:val="Ppogrubienie"/>
        </w:rPr>
        <w:t xml:space="preserve"> z wyjątkiem gdy jest produkowany w drodze elektrolizy wody, dwutlenek siarki</w:t>
      </w:r>
      <w:r w:rsidRPr="00B84A14">
        <w:t>, chlorek karbonylu,</w:t>
      </w:r>
    </w:p>
    <w:p w14:paraId="59B53487" w14:textId="6572639B" w:rsidR="00B84A14" w:rsidRPr="00B84A14" w:rsidRDefault="00B84A14" w:rsidP="00AC13B0">
      <w:pPr>
        <w:pStyle w:val="LITlitera"/>
      </w:pPr>
      <w:r w:rsidRPr="00B84A14">
        <w:t>b)</w:t>
      </w:r>
      <w:r w:rsidR="00047D94">
        <w:t xml:space="preserve"> </w:t>
      </w:r>
      <w:r w:rsidRPr="00B84A14">
        <w:t>kwasów, takich jak: chromowy, fluorowodorowy, fosforowy, azotowy, solny, siarkowy, oleum, kwasy siarkawe,</w:t>
      </w:r>
    </w:p>
    <w:p w14:paraId="639253BA" w14:textId="4EACA1AF" w:rsidR="00B84A14" w:rsidRPr="00B84A14" w:rsidRDefault="00B84A14" w:rsidP="00AC13B0">
      <w:pPr>
        <w:pStyle w:val="LITlitera"/>
      </w:pPr>
      <w:r w:rsidRPr="00B84A14">
        <w:t>c)</w:t>
      </w:r>
      <w:r w:rsidR="00047D94">
        <w:t xml:space="preserve"> </w:t>
      </w:r>
      <w:r w:rsidRPr="00B84A14">
        <w:t>zasad, takich jak: wodorotlenek amonu, wodorotlenek potasu, wodorotlenek sodu,</w:t>
      </w:r>
    </w:p>
    <w:p w14:paraId="28793772" w14:textId="1D84F8CD" w:rsidR="00B84A14" w:rsidRPr="00B84A14" w:rsidRDefault="00B84A14" w:rsidP="00AC13B0">
      <w:pPr>
        <w:pStyle w:val="LITlitera"/>
      </w:pPr>
      <w:r w:rsidRPr="00B84A14">
        <w:t>d)</w:t>
      </w:r>
      <w:r w:rsidR="00047D94">
        <w:t xml:space="preserve"> </w:t>
      </w:r>
      <w:r w:rsidRPr="00B84A14">
        <w:t>soli, takich jak: chlorek amonu, chloran potasu, węglan potasu, węglan sodu, nadborany, azotan srebra,</w:t>
      </w:r>
    </w:p>
    <w:p w14:paraId="30CDB89A" w14:textId="4F6B6F83" w:rsidR="00B84A14" w:rsidRPr="00B84A14" w:rsidRDefault="00B84A14" w:rsidP="00AC13B0">
      <w:pPr>
        <w:pStyle w:val="LITlitera"/>
      </w:pPr>
      <w:r w:rsidRPr="00B84A14">
        <w:t>e)</w:t>
      </w:r>
      <w:r w:rsidR="00047D94">
        <w:t xml:space="preserve"> </w:t>
      </w:r>
      <w:r w:rsidRPr="00B84A14">
        <w:t>niemetali, tlenków metali lub innych związków nieorganicznych: krzemu, węglika wapnia, węglika krzemu,</w:t>
      </w:r>
    </w:p>
    <w:p w14:paraId="44B8593B" w14:textId="48A97EE7" w:rsidR="00B84A14" w:rsidRPr="00B84A14" w:rsidRDefault="00B84A14" w:rsidP="00AC13B0">
      <w:pPr>
        <w:pStyle w:val="LITlitera"/>
      </w:pPr>
      <w:r w:rsidRPr="00B84A14">
        <w:t>f)</w:t>
      </w:r>
      <w:r w:rsidR="00047D94">
        <w:t xml:space="preserve"> </w:t>
      </w:r>
      <w:r w:rsidRPr="00B84A14">
        <w:t>innych niż wymienione w lit. a-e;</w:t>
      </w:r>
    </w:p>
    <w:p w14:paraId="1D0B1BA0" w14:textId="3AEF2D56" w:rsidR="00B84A14" w:rsidRPr="00B84A14" w:rsidRDefault="00B84A14" w:rsidP="00AC13B0">
      <w:pPr>
        <w:pStyle w:val="PKTpunkt"/>
      </w:pPr>
      <w:r w:rsidRPr="00B84A14">
        <w:t>3)</w:t>
      </w:r>
      <w:r w:rsidR="00047D94">
        <w:t xml:space="preserve"> </w:t>
      </w:r>
      <w:r w:rsidRPr="00B84A14">
        <w:t>nawozów prostych lub złożonych na bazie fosforu, azotu lub potasu;</w:t>
      </w:r>
    </w:p>
    <w:p w14:paraId="10C5DADC" w14:textId="2FF71245" w:rsidR="00B84A14" w:rsidRPr="00B84A14" w:rsidRDefault="00B84A14" w:rsidP="00AC13B0">
      <w:pPr>
        <w:pStyle w:val="PKTpunkt"/>
      </w:pPr>
      <w:r w:rsidRPr="00B84A14">
        <w:t>4)</w:t>
      </w:r>
      <w:r w:rsidR="00047D94">
        <w:t xml:space="preserve"> </w:t>
      </w:r>
      <w:r w:rsidRPr="00B84A14">
        <w:t>środków ochrony roślin lub produktów biobójczych;</w:t>
      </w:r>
    </w:p>
    <w:p w14:paraId="25D81E4C" w14:textId="4034AA1D" w:rsidR="00B84A14" w:rsidRPr="00B84A14" w:rsidRDefault="00B84A14" w:rsidP="00AC13B0">
      <w:pPr>
        <w:pStyle w:val="PKTpunkt"/>
      </w:pPr>
      <w:r w:rsidRPr="00B84A14">
        <w:t>5)</w:t>
      </w:r>
      <w:r w:rsidR="00047D94">
        <w:t xml:space="preserve"> </w:t>
      </w:r>
      <w:r w:rsidRPr="00B84A14">
        <w:t>produktów leczniczych lub surowców farmaceutycznych</w:t>
      </w:r>
      <w:r w:rsidR="00E154FC">
        <w:rPr>
          <w:rStyle w:val="IGindeksgrny"/>
        </w:rPr>
        <w:t>5</w:t>
      </w:r>
      <w:r w:rsidRPr="00B84A14">
        <w:t>;</w:t>
      </w:r>
    </w:p>
    <w:p w14:paraId="2FCD671C" w14:textId="51C24767" w:rsidR="00B84A14" w:rsidRPr="00B84A14" w:rsidRDefault="00B84A14" w:rsidP="00AC13B0">
      <w:pPr>
        <w:pStyle w:val="PKTpunkt"/>
      </w:pPr>
      <w:r w:rsidRPr="00B84A14">
        <w:t>6)</w:t>
      </w:r>
      <w:r w:rsidR="00047D94">
        <w:t xml:space="preserve"> </w:t>
      </w:r>
      <w:r w:rsidRPr="00B84A14">
        <w:t>materiałów wybuchowych.</w:t>
      </w:r>
    </w:p>
    <w:p w14:paraId="75F96E9E" w14:textId="253A1DB3" w:rsidR="00B84A14" w:rsidRPr="00B84A14" w:rsidRDefault="00B84A14" w:rsidP="00AC13B0">
      <w:pPr>
        <w:pStyle w:val="USTustnpkodeksu"/>
      </w:pPr>
      <w:r w:rsidRPr="00B84A14">
        <w:t>5</w:t>
      </w:r>
      <w:r w:rsidR="00047D94">
        <w:t>.</w:t>
      </w:r>
      <w:r w:rsidRPr="00B84A14">
        <w:t xml:space="preserve"> Instalacje w gospodarce odpadami:</w:t>
      </w:r>
    </w:p>
    <w:p w14:paraId="3EFEE1A0" w14:textId="11627034" w:rsidR="00B84A14" w:rsidRPr="00B84A14" w:rsidRDefault="00B84A14" w:rsidP="00AC13B0">
      <w:pPr>
        <w:pStyle w:val="PKTpunkt"/>
      </w:pPr>
      <w:r w:rsidRPr="00B84A14">
        <w:lastRenderedPageBreak/>
        <w:t>1)</w:t>
      </w:r>
      <w:r w:rsidR="00047D94">
        <w:t xml:space="preserve"> </w:t>
      </w:r>
      <w:r w:rsidRPr="00B84A14">
        <w:t>do odzysku lub unieszkodliwiania odpadów niebezpiecznych o zdolności przetwarzania</w:t>
      </w:r>
      <w:r w:rsidR="002043FE">
        <w:rPr>
          <w:rStyle w:val="IGindeksgrny"/>
        </w:rPr>
        <w:t>6</w:t>
      </w:r>
      <w:r w:rsidRPr="00CE0104">
        <w:rPr>
          <w:rStyle w:val="IGindeksgrny"/>
        </w:rPr>
        <w:t>)</w:t>
      </w:r>
      <w:r w:rsidRPr="00B84A14">
        <w:t xml:space="preserve"> ponad 10 ton na dobę z wykorzystaniem następujących działań:</w:t>
      </w:r>
    </w:p>
    <w:p w14:paraId="6FF22778" w14:textId="7A797AFC" w:rsidR="00B84A14" w:rsidRPr="00AC13B0" w:rsidRDefault="00B84A14" w:rsidP="00AC13B0">
      <w:pPr>
        <w:pStyle w:val="LITlitera"/>
      </w:pPr>
      <w:r w:rsidRPr="00B84A14">
        <w:t>a)</w:t>
      </w:r>
      <w:r w:rsidR="00047D94">
        <w:t xml:space="preserve"> </w:t>
      </w:r>
      <w:r w:rsidRPr="00AC13B0">
        <w:t>obróbki biologicznej,</w:t>
      </w:r>
    </w:p>
    <w:p w14:paraId="51EB0541" w14:textId="2B466891" w:rsidR="00B84A14" w:rsidRPr="00AC13B0" w:rsidRDefault="00B84A14" w:rsidP="00AC13B0">
      <w:pPr>
        <w:pStyle w:val="LITlitera"/>
      </w:pPr>
      <w:r w:rsidRPr="00AC13B0">
        <w:t>b)</w:t>
      </w:r>
      <w:r w:rsidR="00047D94" w:rsidRPr="00AC13B0">
        <w:t xml:space="preserve"> </w:t>
      </w:r>
      <w:r w:rsidRPr="00AC13B0">
        <w:t>obróbki fizyczno-chemicznej</w:t>
      </w:r>
      <w:r w:rsidR="003C71A0">
        <w:rPr>
          <w:rStyle w:val="IGindeksgrny"/>
        </w:rPr>
        <w:t>12)</w:t>
      </w:r>
      <w:r w:rsidRPr="00AC13B0">
        <w:t>,</w:t>
      </w:r>
    </w:p>
    <w:p w14:paraId="5D95C90F" w14:textId="5F544C75" w:rsidR="00B84A14" w:rsidRPr="00AC13B0" w:rsidRDefault="00B84A14" w:rsidP="00AC13B0">
      <w:pPr>
        <w:pStyle w:val="LITlitera"/>
      </w:pPr>
      <w:r w:rsidRPr="00AC13B0">
        <w:t>c)</w:t>
      </w:r>
      <w:r w:rsidR="00047D94" w:rsidRPr="00AC13B0">
        <w:t xml:space="preserve"> </w:t>
      </w:r>
      <w:r w:rsidRPr="00AC13B0">
        <w:t>sporządzania mieszanki lub mieszania przed poddaniem któremukolwiek z procesów wymienionych w lit. a, b oraz d-k i pkt 2,</w:t>
      </w:r>
    </w:p>
    <w:p w14:paraId="36A85345" w14:textId="4328EE8D" w:rsidR="00B84A14" w:rsidRPr="00AC13B0" w:rsidRDefault="00B84A14" w:rsidP="00AC13B0">
      <w:pPr>
        <w:pStyle w:val="LITlitera"/>
      </w:pPr>
      <w:r w:rsidRPr="00AC13B0">
        <w:t>d)</w:t>
      </w:r>
      <w:r w:rsidR="00047D94" w:rsidRPr="00AC13B0">
        <w:t xml:space="preserve"> </w:t>
      </w:r>
      <w:r w:rsidRPr="00AC13B0">
        <w:t>przepakowywania przed poddaniem któremukolwiek z procesów wymienionych w lit. a-c oraz e-k i pkt 2,</w:t>
      </w:r>
    </w:p>
    <w:p w14:paraId="7C46BDD3" w14:textId="075CBAA9" w:rsidR="00B84A14" w:rsidRPr="00AC13B0" w:rsidRDefault="00B84A14" w:rsidP="00AC13B0">
      <w:pPr>
        <w:pStyle w:val="LITlitera"/>
      </w:pPr>
      <w:r w:rsidRPr="00AC13B0">
        <w:t>e)</w:t>
      </w:r>
      <w:r w:rsidR="00047D94" w:rsidRPr="00AC13B0">
        <w:t xml:space="preserve"> </w:t>
      </w:r>
      <w:r w:rsidRPr="00AC13B0">
        <w:t>regeneracji lub odzyskiwania rozpuszczalników,</w:t>
      </w:r>
    </w:p>
    <w:p w14:paraId="6B715CB7" w14:textId="1EFFC053" w:rsidR="00B84A14" w:rsidRPr="00AC13B0" w:rsidRDefault="00B84A14" w:rsidP="00AC13B0">
      <w:pPr>
        <w:pStyle w:val="LITlitera"/>
      </w:pPr>
      <w:r w:rsidRPr="00AC13B0">
        <w:t>f)</w:t>
      </w:r>
      <w:r w:rsidR="00047D94" w:rsidRPr="00AC13B0">
        <w:t xml:space="preserve"> </w:t>
      </w:r>
      <w:r w:rsidRPr="00AC13B0">
        <w:t>recyklingu lub regeneracji materiałów nieorganicznych innych niż metale i związki metali,</w:t>
      </w:r>
    </w:p>
    <w:p w14:paraId="2744C07F" w14:textId="19CC3DB6" w:rsidR="00B84A14" w:rsidRPr="00AC13B0" w:rsidRDefault="00B84A14" w:rsidP="00AC13B0">
      <w:pPr>
        <w:pStyle w:val="LITlitera"/>
      </w:pPr>
      <w:r w:rsidRPr="00AC13B0">
        <w:t>g)</w:t>
      </w:r>
      <w:r w:rsidR="00047D94" w:rsidRPr="00AC13B0">
        <w:t xml:space="preserve"> </w:t>
      </w:r>
      <w:r w:rsidRPr="00AC13B0">
        <w:t>regeneracji kwasów lub zasad,</w:t>
      </w:r>
    </w:p>
    <w:p w14:paraId="052A650D" w14:textId="7468B9DF" w:rsidR="00B84A14" w:rsidRPr="00AC13B0" w:rsidRDefault="00B84A14" w:rsidP="00AC13B0">
      <w:pPr>
        <w:pStyle w:val="LITlitera"/>
      </w:pPr>
      <w:r w:rsidRPr="00AC13B0">
        <w:t>h)</w:t>
      </w:r>
      <w:r w:rsidR="00047D94" w:rsidRPr="00AC13B0">
        <w:t xml:space="preserve"> </w:t>
      </w:r>
      <w:r w:rsidRPr="00AC13B0">
        <w:t>odzyskiwania składników stosowanych do usuwania zanieczyszczeń,</w:t>
      </w:r>
    </w:p>
    <w:p w14:paraId="530A4402" w14:textId="1B6BBDB2" w:rsidR="00B84A14" w:rsidRPr="00AC13B0" w:rsidRDefault="00B84A14" w:rsidP="00AC13B0">
      <w:pPr>
        <w:pStyle w:val="LITlitera"/>
      </w:pPr>
      <w:r w:rsidRPr="00AC13B0">
        <w:t>i)</w:t>
      </w:r>
      <w:r w:rsidR="00047D94" w:rsidRPr="00AC13B0">
        <w:t xml:space="preserve"> </w:t>
      </w:r>
      <w:r w:rsidRPr="00AC13B0">
        <w:t>odzyskiwania składników z katalizatorów,</w:t>
      </w:r>
    </w:p>
    <w:p w14:paraId="65FEBC47" w14:textId="6A32C889" w:rsidR="00B84A14" w:rsidRPr="00AC13B0" w:rsidRDefault="00B84A14" w:rsidP="00AC13B0">
      <w:pPr>
        <w:pStyle w:val="LITlitera"/>
      </w:pPr>
      <w:r w:rsidRPr="00AC13B0">
        <w:t>j)</w:t>
      </w:r>
      <w:r w:rsidR="00047D94" w:rsidRPr="00AC13B0">
        <w:t xml:space="preserve"> </w:t>
      </w:r>
      <w:r w:rsidRPr="00AC13B0">
        <w:t>powtórnej rafinacji oleju lub innych sposobów ponownego wykorzystania oleju,</w:t>
      </w:r>
    </w:p>
    <w:p w14:paraId="5A95CBAD" w14:textId="04C6999A" w:rsidR="00B84A14" w:rsidRPr="00AC13B0" w:rsidRDefault="00B84A14" w:rsidP="00AC13B0">
      <w:pPr>
        <w:pStyle w:val="LITlitera"/>
      </w:pPr>
      <w:r w:rsidRPr="00AC13B0">
        <w:t>k)</w:t>
      </w:r>
      <w:r w:rsidR="00047D94" w:rsidRPr="00AC13B0">
        <w:t xml:space="preserve"> </w:t>
      </w:r>
      <w:r w:rsidRPr="00AC13B0">
        <w:t>retencji powierzchniowej;</w:t>
      </w:r>
    </w:p>
    <w:p w14:paraId="660DF7BE" w14:textId="4E275A48" w:rsidR="00B84A14" w:rsidRPr="00B84A14" w:rsidRDefault="00B84A14" w:rsidP="00AC13B0">
      <w:pPr>
        <w:pStyle w:val="PKTpunkt"/>
      </w:pPr>
      <w:r w:rsidRPr="00B84A14">
        <w:t>2)</w:t>
      </w:r>
      <w:r w:rsidR="00047D94">
        <w:t xml:space="preserve"> </w:t>
      </w:r>
      <w:r w:rsidRPr="00B84A14">
        <w:t>do termicznego przekształcania odpadów:</w:t>
      </w:r>
    </w:p>
    <w:p w14:paraId="5A3AA912" w14:textId="087731F7" w:rsidR="00B84A14" w:rsidRPr="00B84A14" w:rsidRDefault="00B84A14" w:rsidP="00AC13B0">
      <w:pPr>
        <w:pStyle w:val="LITlitera"/>
      </w:pPr>
      <w:r w:rsidRPr="00B84A14">
        <w:t>a)</w:t>
      </w:r>
      <w:r w:rsidR="00047D94">
        <w:t xml:space="preserve"> </w:t>
      </w:r>
      <w:r w:rsidRPr="00B84A14">
        <w:t>innych niż niebezpieczne o zdolności przetwarzania</w:t>
      </w:r>
      <w:r w:rsidR="002043FE">
        <w:rPr>
          <w:rStyle w:val="IGindeksgrny"/>
        </w:rPr>
        <w:t>6</w:t>
      </w:r>
      <w:r w:rsidRPr="002830EA">
        <w:rPr>
          <w:rStyle w:val="IGindeksgrny"/>
        </w:rPr>
        <w:t>)</w:t>
      </w:r>
      <w:r w:rsidRPr="00B84A14">
        <w:t xml:space="preserve"> ponad 3 tony na godzinę,</w:t>
      </w:r>
    </w:p>
    <w:p w14:paraId="7BE9ED14" w14:textId="5FC4979C" w:rsidR="00B84A14" w:rsidRPr="00B84A14" w:rsidRDefault="00B84A14" w:rsidP="00AC13B0">
      <w:pPr>
        <w:pStyle w:val="LITlitera"/>
      </w:pPr>
      <w:r w:rsidRPr="00B84A14">
        <w:t>b)</w:t>
      </w:r>
      <w:r w:rsidR="00047D94">
        <w:t xml:space="preserve"> </w:t>
      </w:r>
      <w:r w:rsidRPr="00B84A14">
        <w:t>niebezpiecznych o zdolności przetwarzania</w:t>
      </w:r>
      <w:r w:rsidR="002043FE">
        <w:rPr>
          <w:rStyle w:val="IGindeksgrny"/>
        </w:rPr>
        <w:t>6</w:t>
      </w:r>
      <w:r w:rsidRPr="002830EA">
        <w:rPr>
          <w:rStyle w:val="IGindeksgrny"/>
        </w:rPr>
        <w:t>)</w:t>
      </w:r>
      <w:r w:rsidRPr="00B84A14">
        <w:t xml:space="preserve"> ponad 10 ton na dobę;</w:t>
      </w:r>
    </w:p>
    <w:p w14:paraId="23103276" w14:textId="1C3F1AF0" w:rsidR="00B84A14" w:rsidRPr="00B84A14" w:rsidRDefault="00B84A14" w:rsidP="00AC13B0">
      <w:pPr>
        <w:pStyle w:val="PKTpunkt"/>
      </w:pPr>
      <w:r w:rsidRPr="00B84A14">
        <w:t>3)</w:t>
      </w:r>
      <w:r w:rsidR="00047D94">
        <w:t xml:space="preserve"> </w:t>
      </w:r>
      <w:r w:rsidRPr="00B84A14">
        <w:t>dla odpadów innych niż niebezpieczne z wyłączeniem działań realizowanych podczas oczyszczania ścieków komunalnych:</w:t>
      </w:r>
    </w:p>
    <w:p w14:paraId="451C9D70" w14:textId="13F9356F" w:rsidR="00B84A14" w:rsidRPr="00B84A14" w:rsidRDefault="00B84A14" w:rsidP="00AC13B0">
      <w:pPr>
        <w:pStyle w:val="LITlitera"/>
      </w:pPr>
      <w:r w:rsidRPr="00B84A14">
        <w:t>a)</w:t>
      </w:r>
      <w:r w:rsidR="00047D94">
        <w:t xml:space="preserve"> </w:t>
      </w:r>
      <w:r w:rsidRPr="00B84A14">
        <w:t>do unieszkodliwiania o zdolności przetwarzania</w:t>
      </w:r>
      <w:r w:rsidR="002043FE">
        <w:rPr>
          <w:rStyle w:val="IGindeksgrny"/>
        </w:rPr>
        <w:t>6</w:t>
      </w:r>
      <w:r w:rsidRPr="002830EA">
        <w:rPr>
          <w:rStyle w:val="IGindeksgrny"/>
        </w:rPr>
        <w:t>)</w:t>
      </w:r>
      <w:r w:rsidRPr="00B84A14">
        <w:t xml:space="preserve"> ponad 50 ton na dobę </w:t>
      </w:r>
      <w:r w:rsidR="002830EA">
        <w:br/>
      </w:r>
      <w:r w:rsidRPr="00B84A14">
        <w:t>z wykorzystaniem na</w:t>
      </w:r>
      <w:r w:rsidR="00047D94">
        <w:t>s</w:t>
      </w:r>
      <w:r w:rsidRPr="00B84A14">
        <w:t>tępujących działań:</w:t>
      </w:r>
    </w:p>
    <w:p w14:paraId="62B2BBCE" w14:textId="107A861E" w:rsidR="00B84A14" w:rsidRPr="00250A2C" w:rsidRDefault="00B84A14" w:rsidP="00AC13B0">
      <w:pPr>
        <w:pStyle w:val="TIRtiret"/>
        <w:rPr>
          <w:rStyle w:val="Ppogrubienie"/>
        </w:rPr>
      </w:pPr>
      <w:r w:rsidRPr="00B84A14">
        <w:t>-</w:t>
      </w:r>
      <w:r w:rsidR="00047D94">
        <w:t xml:space="preserve"> </w:t>
      </w:r>
      <w:r w:rsidRPr="00B84A14">
        <w:t>obróbki biologicznej,</w:t>
      </w:r>
      <w:r w:rsidR="00250A2C" w:rsidRPr="00250A2C">
        <w:t xml:space="preserve"> </w:t>
      </w:r>
      <w:bookmarkStart w:id="0" w:name="_Hlk215227593"/>
      <w:r w:rsidR="00250A2C" w:rsidRPr="00250A2C">
        <w:rPr>
          <w:rStyle w:val="Ppogrubienie"/>
        </w:rPr>
        <w:t xml:space="preserve">w tym fermentacji beztlenowej lub </w:t>
      </w:r>
      <w:proofErr w:type="spellStart"/>
      <w:r w:rsidR="00250A2C" w:rsidRPr="00250A2C">
        <w:rPr>
          <w:rStyle w:val="Ppogrubienie"/>
        </w:rPr>
        <w:t>współfermentacji</w:t>
      </w:r>
      <w:bookmarkEnd w:id="0"/>
      <w:proofErr w:type="spellEnd"/>
      <w:r w:rsidR="00250A2C" w:rsidRPr="00250A2C">
        <w:rPr>
          <w:rStyle w:val="Ppogrubienie"/>
        </w:rPr>
        <w:t>,</w:t>
      </w:r>
    </w:p>
    <w:p w14:paraId="7334760C" w14:textId="2F7C158C" w:rsidR="00B84A14" w:rsidRPr="00B84A14" w:rsidRDefault="00B84A14" w:rsidP="00AC13B0">
      <w:pPr>
        <w:pStyle w:val="TIRtiret"/>
      </w:pPr>
      <w:r w:rsidRPr="00B84A14">
        <w:t>-</w:t>
      </w:r>
      <w:r w:rsidR="00047D94">
        <w:t xml:space="preserve"> </w:t>
      </w:r>
      <w:r w:rsidRPr="00B84A14">
        <w:t>obróbki fizyczno-chemicznej</w:t>
      </w:r>
      <w:r w:rsidR="00D16888">
        <w:rPr>
          <w:rStyle w:val="IGindeksgrny"/>
        </w:rPr>
        <w:t>7</w:t>
      </w:r>
      <w:r w:rsidR="003C71A0">
        <w:rPr>
          <w:rStyle w:val="IGindeksgrny"/>
        </w:rPr>
        <w:t>)</w:t>
      </w:r>
      <w:r w:rsidRPr="00B84A14">
        <w:t>,</w:t>
      </w:r>
    </w:p>
    <w:p w14:paraId="56B25AC1" w14:textId="2E09218C" w:rsidR="00B84A14" w:rsidRPr="00B84A14" w:rsidRDefault="00B84A14" w:rsidP="00AC13B0">
      <w:pPr>
        <w:pStyle w:val="TIRtiret"/>
      </w:pPr>
      <w:r w:rsidRPr="00B84A14">
        <w:t>-</w:t>
      </w:r>
      <w:r w:rsidR="00047D94">
        <w:t xml:space="preserve"> </w:t>
      </w:r>
      <w:r w:rsidRPr="00B84A14">
        <w:t>obróbki wstępnej odpadów przeznaczonych do termicznego przekształcania,</w:t>
      </w:r>
    </w:p>
    <w:p w14:paraId="12B1AAD2" w14:textId="79CE3B99" w:rsidR="00B84A14" w:rsidRPr="00B84A14" w:rsidRDefault="00B84A14" w:rsidP="00AC13B0">
      <w:pPr>
        <w:pStyle w:val="TIRtiret"/>
      </w:pPr>
      <w:r w:rsidRPr="00B84A14">
        <w:t>-</w:t>
      </w:r>
      <w:r w:rsidR="00047D94">
        <w:t xml:space="preserve"> </w:t>
      </w:r>
      <w:r w:rsidRPr="00B84A14">
        <w:t>obróbki żużlu i popiołów,</w:t>
      </w:r>
    </w:p>
    <w:p w14:paraId="3A33005D" w14:textId="34B0AA7A" w:rsidR="00B84A14" w:rsidRPr="00B84A14" w:rsidRDefault="00B84A14" w:rsidP="00AC13B0">
      <w:pPr>
        <w:pStyle w:val="TIRtiret"/>
      </w:pPr>
      <w:r w:rsidRPr="00B84A14">
        <w:t>-</w:t>
      </w:r>
      <w:r w:rsidR="00047D94">
        <w:t xml:space="preserve"> </w:t>
      </w:r>
      <w:r w:rsidRPr="00B84A14">
        <w:t xml:space="preserve">obróbki w </w:t>
      </w:r>
      <w:proofErr w:type="spellStart"/>
      <w:r w:rsidRPr="00B84A14">
        <w:t>strzępiarkach</w:t>
      </w:r>
      <w:proofErr w:type="spellEnd"/>
      <w:r w:rsidRPr="00B84A14">
        <w:t xml:space="preserve"> odpadów metalowych, w tym zużytego sprzętu elektrycznego i elektronicznego oraz pojazdów wycofanych z eksploatacji i ich części,</w:t>
      </w:r>
    </w:p>
    <w:p w14:paraId="43E99184" w14:textId="5A839D2B" w:rsidR="00B84A14" w:rsidRPr="00B84A14" w:rsidRDefault="00B84A14" w:rsidP="00AC13B0">
      <w:pPr>
        <w:pStyle w:val="LITlitera"/>
      </w:pPr>
      <w:r w:rsidRPr="00B84A14">
        <w:t>b)</w:t>
      </w:r>
      <w:r w:rsidR="00047D94">
        <w:t xml:space="preserve"> </w:t>
      </w:r>
      <w:r w:rsidRPr="00B84A14">
        <w:t>do odzysku lub kombinacji odzysku i unieszkodliwiania o zdolności przetwarzania</w:t>
      </w:r>
      <w:r w:rsidR="00D16888">
        <w:rPr>
          <w:rStyle w:val="IGindeksgrny"/>
        </w:rPr>
        <w:t>6</w:t>
      </w:r>
      <w:r w:rsidRPr="002830EA">
        <w:rPr>
          <w:rStyle w:val="IGindeksgrny"/>
        </w:rPr>
        <w:t>)</w:t>
      </w:r>
      <w:r w:rsidRPr="00B84A14">
        <w:t xml:space="preserve"> ponad 75 ton na dobę, z wykorzystaniem następujących działań:</w:t>
      </w:r>
    </w:p>
    <w:p w14:paraId="404FE86D" w14:textId="4131ACDA" w:rsidR="00B84A14" w:rsidRPr="00B84A14" w:rsidRDefault="00B84A14" w:rsidP="00AC13B0">
      <w:pPr>
        <w:pStyle w:val="TIRtiret"/>
      </w:pPr>
      <w:r w:rsidRPr="00B84A14">
        <w:t>-</w:t>
      </w:r>
      <w:r w:rsidR="00047D94">
        <w:t xml:space="preserve"> </w:t>
      </w:r>
      <w:r w:rsidRPr="00B84A14">
        <w:t>obróbki biologicznej,</w:t>
      </w:r>
      <w:r w:rsidR="00250A2C">
        <w:t xml:space="preserve"> </w:t>
      </w:r>
      <w:r w:rsidR="00250A2C" w:rsidRPr="00250A2C">
        <w:rPr>
          <w:rStyle w:val="Ppogrubienie"/>
        </w:rPr>
        <w:t>w tym fermentacji beztlenowej,</w:t>
      </w:r>
    </w:p>
    <w:p w14:paraId="5DE7DEAB" w14:textId="0E3C3A1C" w:rsidR="00B84A14" w:rsidRPr="00B84A14" w:rsidRDefault="00B84A14" w:rsidP="00AC13B0">
      <w:pPr>
        <w:pStyle w:val="TIRtiret"/>
      </w:pPr>
      <w:r w:rsidRPr="00B84A14">
        <w:lastRenderedPageBreak/>
        <w:t>-</w:t>
      </w:r>
      <w:r w:rsidR="00047D94">
        <w:t xml:space="preserve"> </w:t>
      </w:r>
      <w:r w:rsidRPr="00B84A14">
        <w:t>obróbki wstępnej odpadów przeznaczonych do termicznego przekształcania,</w:t>
      </w:r>
    </w:p>
    <w:p w14:paraId="3E3C8230" w14:textId="5D3CE325" w:rsidR="00B84A14" w:rsidRPr="00B84A14" w:rsidRDefault="00B84A14" w:rsidP="00AC13B0">
      <w:pPr>
        <w:pStyle w:val="TIRtiret"/>
      </w:pPr>
      <w:r w:rsidRPr="00B84A14">
        <w:t>-</w:t>
      </w:r>
      <w:r w:rsidR="00047D94">
        <w:t xml:space="preserve"> </w:t>
      </w:r>
      <w:r w:rsidRPr="00B84A14">
        <w:t>obróbki żużlu i popiołów,</w:t>
      </w:r>
    </w:p>
    <w:p w14:paraId="73E1F66D" w14:textId="35E69141" w:rsidR="00B84A14" w:rsidRPr="00B84A14" w:rsidRDefault="00B84A14" w:rsidP="00AC13B0">
      <w:pPr>
        <w:pStyle w:val="TIRtiret"/>
      </w:pPr>
      <w:r w:rsidRPr="00B84A14">
        <w:t>-</w:t>
      </w:r>
      <w:r w:rsidR="00047D94">
        <w:t xml:space="preserve"> </w:t>
      </w:r>
      <w:r w:rsidRPr="00B84A14">
        <w:t xml:space="preserve">obróbki w </w:t>
      </w:r>
      <w:proofErr w:type="spellStart"/>
      <w:r w:rsidRPr="00B84A14">
        <w:t>strzępiarkach</w:t>
      </w:r>
      <w:proofErr w:type="spellEnd"/>
      <w:r w:rsidRPr="00B84A14">
        <w:t xml:space="preserve"> odpadów metalowych, w tym zużytego sprzętu elektrycznego i elektronicznego oraz pojazdów wycofanych z eksploatacji i ich części,</w:t>
      </w:r>
    </w:p>
    <w:p w14:paraId="2690E735" w14:textId="06315D28" w:rsidR="00B84A14" w:rsidRPr="00B84A14" w:rsidRDefault="00B84A14" w:rsidP="00AC13B0">
      <w:pPr>
        <w:pStyle w:val="LITlitera"/>
      </w:pPr>
      <w:r w:rsidRPr="00B84A14">
        <w:t>c)</w:t>
      </w:r>
      <w:r w:rsidR="00047D94">
        <w:t xml:space="preserve"> </w:t>
      </w:r>
      <w:r w:rsidRPr="00B84A14">
        <w:t xml:space="preserve">do odzysku lub unieszkodliwiania z wykorzystaniem </w:t>
      </w:r>
      <w:r w:rsidR="00250A2C" w:rsidRPr="00250A2C">
        <w:rPr>
          <w:rStyle w:val="Ppogrubienie"/>
        </w:rPr>
        <w:t xml:space="preserve">jedynie </w:t>
      </w:r>
      <w:r w:rsidRPr="00B84A14">
        <w:t>fermentacji beztlenowej o zdolności przetwarzania</w:t>
      </w:r>
      <w:r w:rsidR="002043FE">
        <w:rPr>
          <w:rStyle w:val="IGindeksgrny"/>
        </w:rPr>
        <w:t>6</w:t>
      </w:r>
      <w:r w:rsidRPr="002830EA">
        <w:rPr>
          <w:rStyle w:val="IGindeksgrny"/>
        </w:rPr>
        <w:t>)</w:t>
      </w:r>
      <w:r w:rsidRPr="00B84A14">
        <w:t xml:space="preserve"> nie mniejszej niż 100 ton na dobę;</w:t>
      </w:r>
    </w:p>
    <w:p w14:paraId="1FCC0E07" w14:textId="2ECF758A" w:rsidR="00B84A14" w:rsidRPr="00B84A14" w:rsidRDefault="00B84A14" w:rsidP="00AC13B0">
      <w:pPr>
        <w:pStyle w:val="PKTpunkt"/>
      </w:pPr>
      <w:r w:rsidRPr="00B84A14">
        <w:t>4)</w:t>
      </w:r>
      <w:r w:rsidR="00047D94">
        <w:t xml:space="preserve"> </w:t>
      </w:r>
      <w:r w:rsidRPr="00B84A14">
        <w:t>do składowania odpadów, o zdolności przyjmowania</w:t>
      </w:r>
      <w:r w:rsidR="00D16888">
        <w:rPr>
          <w:rStyle w:val="IGindeksgrny"/>
        </w:rPr>
        <w:t>8</w:t>
      </w:r>
      <w:r w:rsidRPr="002830EA">
        <w:rPr>
          <w:rStyle w:val="IGindeksgrny"/>
        </w:rPr>
        <w:t>)</w:t>
      </w:r>
      <w:r w:rsidRPr="00B84A14">
        <w:t xml:space="preserve"> ponad 10 ton odpadów na dobę lub o całkowitej pojemności ponad 25 000 ton, z wyjątkiem składowisk odpadów obojętnych lub obiektów unieszkodliwiania odpadów wydobywczych;</w:t>
      </w:r>
    </w:p>
    <w:p w14:paraId="0A865F11" w14:textId="67DCF6D6" w:rsidR="00B84A14" w:rsidRPr="00B84A14" w:rsidRDefault="00B84A14" w:rsidP="00874E30">
      <w:pPr>
        <w:pStyle w:val="PKTpunkt"/>
      </w:pPr>
      <w:r w:rsidRPr="00B84A14">
        <w:t>5)</w:t>
      </w:r>
      <w:r w:rsidR="00047D94">
        <w:t xml:space="preserve"> </w:t>
      </w:r>
      <w:r w:rsidRPr="00B84A14">
        <w:t>do magazynowania odpadów niebezpiecznych, w oczekiwaniu na działania, o których mowa w pkt 1, 2 lit. b oraz w pkt 4 i 6, o całkowitej pojemności ponad 50 ton, z wyłączeniem wstępnego magazynowania odpadów przez ich wytwórcę w miejscu ich wytworzenia</w:t>
      </w:r>
      <w:r w:rsidR="00D16888">
        <w:rPr>
          <w:rStyle w:val="IGindeksgrny"/>
        </w:rPr>
        <w:t>9</w:t>
      </w:r>
      <w:r w:rsidR="00874E30">
        <w:t>;</w:t>
      </w:r>
    </w:p>
    <w:p w14:paraId="0DACFB53" w14:textId="1819B475" w:rsidR="00B84A14" w:rsidRPr="00B84A14" w:rsidRDefault="00B84A14" w:rsidP="00AC13B0">
      <w:pPr>
        <w:pStyle w:val="PKTpunkt"/>
      </w:pPr>
      <w:r w:rsidRPr="00B84A14">
        <w:t>6)</w:t>
      </w:r>
      <w:r w:rsidR="00047D94">
        <w:t xml:space="preserve"> </w:t>
      </w:r>
      <w:r w:rsidRPr="00B84A14">
        <w:t>do podziemnego składowania odpadów niebezpiecznych o całkowitej pojemności ponad 50 ton.</w:t>
      </w:r>
    </w:p>
    <w:p w14:paraId="40324D89" w14:textId="2D2CB4F6" w:rsidR="00B84A14" w:rsidRPr="00B84A14" w:rsidRDefault="00B84A14" w:rsidP="00AC13B0">
      <w:pPr>
        <w:pStyle w:val="USTustnpkodeksu"/>
      </w:pPr>
      <w:r w:rsidRPr="00B84A14">
        <w:t>6</w:t>
      </w:r>
      <w:r w:rsidR="00047D94">
        <w:t>.</w:t>
      </w:r>
      <w:r w:rsidRPr="00B84A14">
        <w:t xml:space="preserve"> Instalacje w innych rodzajach działalności:</w:t>
      </w:r>
    </w:p>
    <w:p w14:paraId="64C329B8" w14:textId="20434956" w:rsidR="00B84A14" w:rsidRPr="00B84A14" w:rsidRDefault="00B84A14" w:rsidP="00AC13B0">
      <w:pPr>
        <w:pStyle w:val="PKTpunkt"/>
      </w:pPr>
      <w:r w:rsidRPr="00B84A14">
        <w:t>1)</w:t>
      </w:r>
      <w:r w:rsidR="00047D94">
        <w:t xml:space="preserve"> </w:t>
      </w:r>
      <w:r w:rsidRPr="00B84A14">
        <w:t>do produkcji:</w:t>
      </w:r>
    </w:p>
    <w:p w14:paraId="428F560C" w14:textId="3AEC76EF" w:rsidR="00B84A14" w:rsidRPr="00B84A14" w:rsidRDefault="00B84A14" w:rsidP="00AC13B0">
      <w:pPr>
        <w:pStyle w:val="LITlitera"/>
      </w:pPr>
      <w:r w:rsidRPr="00B84A14">
        <w:t>a)</w:t>
      </w:r>
      <w:r w:rsidR="00047D94">
        <w:t xml:space="preserve"> </w:t>
      </w:r>
      <w:r w:rsidRPr="00B84A14">
        <w:t>masy włóknistej z drewna lub innych materiałów włóknistych,</w:t>
      </w:r>
    </w:p>
    <w:p w14:paraId="5C01DF77" w14:textId="22F6696E" w:rsidR="00B84A14" w:rsidRPr="00B84A14" w:rsidRDefault="00B84A14" w:rsidP="00AC13B0">
      <w:pPr>
        <w:pStyle w:val="LITlitera"/>
      </w:pPr>
      <w:r w:rsidRPr="00B84A14">
        <w:t>b)</w:t>
      </w:r>
      <w:r w:rsidR="00047D94">
        <w:t xml:space="preserve"> </w:t>
      </w:r>
      <w:r w:rsidRPr="00B84A14">
        <w:t>papieru lub tektury o zdolności produkcyjnej</w:t>
      </w:r>
      <w:r w:rsidR="002043FE">
        <w:rPr>
          <w:rStyle w:val="IGindeksgrny"/>
        </w:rPr>
        <w:t>4</w:t>
      </w:r>
      <w:r w:rsidRPr="002830EA">
        <w:rPr>
          <w:rStyle w:val="IGindeksgrny"/>
        </w:rPr>
        <w:t>)</w:t>
      </w:r>
      <w:r w:rsidRPr="00B84A14">
        <w:t xml:space="preserve"> ponad 20 ton na dobę,</w:t>
      </w:r>
    </w:p>
    <w:p w14:paraId="03B4896E" w14:textId="623753D6" w:rsidR="00B84A14" w:rsidRPr="00B84A14" w:rsidRDefault="00B84A14" w:rsidP="00AC13B0">
      <w:pPr>
        <w:pStyle w:val="LITlitera"/>
      </w:pPr>
      <w:r w:rsidRPr="00B84A14">
        <w:t>c)</w:t>
      </w:r>
      <w:r w:rsidR="00047D94">
        <w:t xml:space="preserve"> </w:t>
      </w:r>
      <w:r w:rsidRPr="00B84A14">
        <w:t>płyt drewnopochodnych: płyt o wiórach zorientowanych (OSB), płyt wiórowych lub płyt pilśniowych o zdolności produkcyjnej</w:t>
      </w:r>
      <w:r w:rsidR="002043FE">
        <w:rPr>
          <w:rStyle w:val="IGindeksgrny"/>
        </w:rPr>
        <w:t>4</w:t>
      </w:r>
      <w:r w:rsidRPr="002830EA">
        <w:rPr>
          <w:rStyle w:val="IGindeksgrny"/>
        </w:rPr>
        <w:t>)</w:t>
      </w:r>
      <w:r w:rsidRPr="00B84A14">
        <w:t xml:space="preserve"> ponad 600 m</w:t>
      </w:r>
      <w:r w:rsidRPr="002830EA">
        <w:rPr>
          <w:rStyle w:val="IGindeksgrny"/>
        </w:rPr>
        <w:t>3</w:t>
      </w:r>
      <w:r w:rsidRPr="00B84A14">
        <w:t xml:space="preserve"> na dobę;</w:t>
      </w:r>
    </w:p>
    <w:p w14:paraId="32AA5D75" w14:textId="09F939B1" w:rsidR="00B84A14" w:rsidRPr="00B84A14" w:rsidRDefault="00B84A14" w:rsidP="00AC13B0">
      <w:pPr>
        <w:pStyle w:val="PKTpunkt"/>
      </w:pPr>
      <w:r w:rsidRPr="00B84A14">
        <w:t>2)</w:t>
      </w:r>
      <w:r w:rsidR="00047D94">
        <w:t xml:space="preserve"> </w:t>
      </w:r>
      <w:r w:rsidRPr="00B84A14">
        <w:t>do obróbki wstępnej</w:t>
      </w:r>
      <w:r w:rsidR="00D16888">
        <w:rPr>
          <w:rStyle w:val="IGindeksgrny"/>
        </w:rPr>
        <w:t>10</w:t>
      </w:r>
      <w:r w:rsidRPr="002830EA">
        <w:rPr>
          <w:rStyle w:val="IGindeksgrny"/>
        </w:rPr>
        <w:t>)</w:t>
      </w:r>
      <w:r w:rsidRPr="00B84A14">
        <w:t xml:space="preserve"> barwienia </w:t>
      </w:r>
      <w:r w:rsidR="00250A2C" w:rsidRPr="00250A2C">
        <w:rPr>
          <w:rStyle w:val="Ppogrubienie"/>
        </w:rPr>
        <w:t xml:space="preserve">lub wykańczania </w:t>
      </w:r>
      <w:r w:rsidRPr="00B84A14">
        <w:t>włókien lub materiałów włókienniczych o zdolności produkcyjnej</w:t>
      </w:r>
      <w:r w:rsidR="002043FE">
        <w:rPr>
          <w:rStyle w:val="IGindeksgrny"/>
        </w:rPr>
        <w:t>4</w:t>
      </w:r>
      <w:r w:rsidRPr="00CE0104">
        <w:rPr>
          <w:rStyle w:val="IGindeksgrny"/>
        </w:rPr>
        <w:t>)</w:t>
      </w:r>
      <w:r w:rsidRPr="00B84A14">
        <w:t xml:space="preserve"> ponad 10 ton wyrobów gotowych na dobę</w:t>
      </w:r>
      <w:r w:rsidR="002043FE">
        <w:rPr>
          <w:rStyle w:val="IGindeksgrny"/>
        </w:rPr>
        <w:t>1</w:t>
      </w:r>
      <w:r w:rsidR="00D16888">
        <w:rPr>
          <w:rStyle w:val="IGindeksgrny"/>
        </w:rPr>
        <w:t>1</w:t>
      </w:r>
      <w:r w:rsidR="002043FE">
        <w:rPr>
          <w:rStyle w:val="IGindeksgrny"/>
        </w:rPr>
        <w:t>)</w:t>
      </w:r>
      <w:r w:rsidRPr="00B84A14">
        <w:t>;</w:t>
      </w:r>
    </w:p>
    <w:p w14:paraId="64B7B335" w14:textId="3926E03E" w:rsidR="00B84A14" w:rsidRPr="00B84A14" w:rsidRDefault="00B84A14" w:rsidP="00AC13B0">
      <w:pPr>
        <w:pStyle w:val="PKTpunkt"/>
      </w:pPr>
      <w:r w:rsidRPr="00B84A14">
        <w:t>3)</w:t>
      </w:r>
      <w:r w:rsidR="00047D94">
        <w:t xml:space="preserve"> </w:t>
      </w:r>
      <w:r w:rsidRPr="00B84A14">
        <w:t>do garbowania skór o zdolności produkcyjnej</w:t>
      </w:r>
      <w:r w:rsidR="002043FE">
        <w:rPr>
          <w:rStyle w:val="IGindeksgrny"/>
        </w:rPr>
        <w:t>4</w:t>
      </w:r>
      <w:r w:rsidRPr="002830EA">
        <w:rPr>
          <w:rStyle w:val="IGindeksgrny"/>
        </w:rPr>
        <w:t>)</w:t>
      </w:r>
      <w:r w:rsidRPr="00B84A14">
        <w:t xml:space="preserve"> ponad 12 ton produktu końcowego na dobę;</w:t>
      </w:r>
    </w:p>
    <w:p w14:paraId="48145509" w14:textId="2375730E" w:rsidR="00B84A14" w:rsidRPr="00B84A14" w:rsidRDefault="00B84A14" w:rsidP="00AC13B0">
      <w:pPr>
        <w:pStyle w:val="PKTpunkt"/>
      </w:pPr>
      <w:r w:rsidRPr="00B84A14">
        <w:t>4)</w:t>
      </w:r>
      <w:r w:rsidR="00047D94">
        <w:t xml:space="preserve"> </w:t>
      </w:r>
      <w:r w:rsidRPr="00B84A14">
        <w:t>do uboju zwierząt o zdolności produkcyjnej</w:t>
      </w:r>
      <w:r w:rsidR="002043FE">
        <w:rPr>
          <w:rStyle w:val="IGindeksgrny"/>
        </w:rPr>
        <w:t>4</w:t>
      </w:r>
      <w:r w:rsidRPr="002830EA">
        <w:rPr>
          <w:rStyle w:val="IGindeksgrny"/>
        </w:rPr>
        <w:t>)</w:t>
      </w:r>
      <w:r w:rsidRPr="00B84A14">
        <w:t xml:space="preserve"> ponad 50 ton tusz na dobę;</w:t>
      </w:r>
    </w:p>
    <w:p w14:paraId="138B64EE" w14:textId="5C135D7E" w:rsidR="00B84A14" w:rsidRPr="00B84A14" w:rsidRDefault="00B84A14" w:rsidP="00B65794">
      <w:pPr>
        <w:pStyle w:val="PKTpunkt"/>
      </w:pPr>
      <w:r w:rsidRPr="00B84A14">
        <w:t>5)</w:t>
      </w:r>
      <w:r w:rsidR="009B5922">
        <w:t xml:space="preserve"> </w:t>
      </w:r>
      <w:r w:rsidR="005F51F2" w:rsidRPr="005F51F2">
        <w:t>do obróbki i przetwórstwa, poza wyłącznym pakowaniem, następujących surowców przetworzonych lub nieprzetworzonych do celów wytwarzania produktów spożywczych lub paszy z:</w:t>
      </w:r>
    </w:p>
    <w:p w14:paraId="06BF16E6" w14:textId="00AB9628" w:rsidR="00B84A14" w:rsidRPr="00B84A14" w:rsidRDefault="00B84A14" w:rsidP="00AC13B0">
      <w:pPr>
        <w:pStyle w:val="LITlitera"/>
      </w:pPr>
      <w:r w:rsidRPr="00B84A14">
        <w:t>a)</w:t>
      </w:r>
      <w:r w:rsidR="00047D94">
        <w:t xml:space="preserve"> </w:t>
      </w:r>
      <w:r w:rsidRPr="00B84A14">
        <w:t>surowców pochodzenia zwierzęcego innych niż wyłącznie mleko o zdolności produkcyjnej</w:t>
      </w:r>
      <w:r w:rsidR="002043FE">
        <w:rPr>
          <w:rStyle w:val="IGindeksgrny"/>
        </w:rPr>
        <w:t>4</w:t>
      </w:r>
      <w:r w:rsidRPr="002830EA">
        <w:rPr>
          <w:rStyle w:val="IGindeksgrny"/>
        </w:rPr>
        <w:t>)</w:t>
      </w:r>
      <w:r w:rsidRPr="00B84A14">
        <w:t xml:space="preserve"> ponad 75 ton wyrobów gotowych</w:t>
      </w:r>
      <w:r w:rsidR="002043FE">
        <w:rPr>
          <w:rStyle w:val="IGindeksgrny"/>
        </w:rPr>
        <w:t>1</w:t>
      </w:r>
      <w:r w:rsidR="00D16888">
        <w:rPr>
          <w:rStyle w:val="IGindeksgrny"/>
        </w:rPr>
        <w:t>1</w:t>
      </w:r>
      <w:r w:rsidRPr="002830EA">
        <w:rPr>
          <w:rStyle w:val="IGindeksgrny"/>
        </w:rPr>
        <w:t>)</w:t>
      </w:r>
      <w:r w:rsidRPr="00B84A14">
        <w:t xml:space="preserve"> na dobę,</w:t>
      </w:r>
    </w:p>
    <w:p w14:paraId="43F8B3AA" w14:textId="1AD84AF6" w:rsidR="00B84A14" w:rsidRPr="00B84A14" w:rsidRDefault="00B84A14" w:rsidP="00AC13B0">
      <w:pPr>
        <w:pStyle w:val="LITlitera"/>
      </w:pPr>
      <w:r w:rsidRPr="00B84A14">
        <w:t>b)</w:t>
      </w:r>
      <w:r w:rsidR="00047D94">
        <w:t xml:space="preserve"> </w:t>
      </w:r>
      <w:r w:rsidRPr="00B84A14">
        <w:t>surowców pochodzenia roślinnego</w:t>
      </w:r>
      <w:r w:rsidR="00205C31">
        <w:t>,</w:t>
      </w:r>
      <w:r w:rsidRPr="00B84A14">
        <w:t xml:space="preserve"> o zdolności produkcyjnej</w:t>
      </w:r>
      <w:r w:rsidR="002043FE">
        <w:rPr>
          <w:rStyle w:val="IGindeksgrny"/>
        </w:rPr>
        <w:t>4</w:t>
      </w:r>
      <w:r w:rsidRPr="002830EA">
        <w:rPr>
          <w:rStyle w:val="IGindeksgrny"/>
        </w:rPr>
        <w:t>)</w:t>
      </w:r>
      <w:r w:rsidRPr="00B84A14">
        <w:t xml:space="preserve"> ponad 300 ton wyrobów gotowych</w:t>
      </w:r>
      <w:r w:rsidR="002043FE">
        <w:rPr>
          <w:rStyle w:val="IGindeksgrny"/>
        </w:rPr>
        <w:t>10</w:t>
      </w:r>
      <w:r w:rsidRPr="002830EA">
        <w:rPr>
          <w:rStyle w:val="IGindeksgrny"/>
        </w:rPr>
        <w:t>)</w:t>
      </w:r>
      <w:r w:rsidRPr="00B84A14">
        <w:t xml:space="preserve"> na dobę lub 600 ton wyrobów gotowych</w:t>
      </w:r>
      <w:r w:rsidR="002043FE">
        <w:rPr>
          <w:rStyle w:val="IGindeksgrny"/>
        </w:rPr>
        <w:t>1</w:t>
      </w:r>
      <w:r w:rsidR="00D16888">
        <w:rPr>
          <w:rStyle w:val="IGindeksgrny"/>
        </w:rPr>
        <w:t>1</w:t>
      </w:r>
      <w:r w:rsidRPr="002830EA">
        <w:rPr>
          <w:rStyle w:val="IGindeksgrny"/>
        </w:rPr>
        <w:t>)</w:t>
      </w:r>
      <w:r w:rsidRPr="00B84A14">
        <w:t xml:space="preserve"> na dobę, przy założeniu, że instalacja jest eksploatowana nie dłużej niż przez 90 kolejnych dni w danym roku,</w:t>
      </w:r>
    </w:p>
    <w:p w14:paraId="31E9D8F1" w14:textId="541EAACE" w:rsidR="00B84A14" w:rsidRPr="00B84A14" w:rsidRDefault="00B84A14" w:rsidP="00AC13B0">
      <w:pPr>
        <w:pStyle w:val="LITlitera"/>
      </w:pPr>
      <w:r w:rsidRPr="00B84A14">
        <w:lastRenderedPageBreak/>
        <w:t>c)</w:t>
      </w:r>
      <w:r w:rsidR="00047D94">
        <w:t xml:space="preserve"> </w:t>
      </w:r>
      <w:r w:rsidRPr="00B84A14">
        <w:t xml:space="preserve">surowców pochodzenia zwierzęcego </w:t>
      </w:r>
      <w:r w:rsidR="00457173">
        <w:t>(</w:t>
      </w:r>
      <w:r w:rsidR="00457173" w:rsidRPr="00B84A14">
        <w:t>innych niż wyłącznie mleko</w:t>
      </w:r>
      <w:r w:rsidR="00457173">
        <w:t xml:space="preserve">) </w:t>
      </w:r>
      <w:r w:rsidRPr="00B84A14">
        <w:t>i roślinnego</w:t>
      </w:r>
      <w:r w:rsidR="00205C31">
        <w:t>,</w:t>
      </w:r>
      <w:r w:rsidR="00205C31" w:rsidRPr="00205C31">
        <w:rPr>
          <w:rStyle w:val="Ppogrubienie"/>
        </w:rPr>
        <w:t xml:space="preserve"> </w:t>
      </w:r>
      <w:r w:rsidR="002830EA">
        <w:br/>
      </w:r>
      <w:r w:rsidRPr="00B84A14">
        <w:t>o dobowej zdolności produkcyjnej</w:t>
      </w:r>
      <w:r w:rsidR="002043FE">
        <w:rPr>
          <w:rStyle w:val="IGindeksgrny"/>
        </w:rPr>
        <w:t>4</w:t>
      </w:r>
      <w:r w:rsidRPr="002830EA">
        <w:rPr>
          <w:rStyle w:val="IGindeksgrny"/>
        </w:rPr>
        <w:t>)</w:t>
      </w:r>
      <w:r w:rsidRPr="00B84A14">
        <w:t xml:space="preserve"> wyrobów gotowych</w:t>
      </w:r>
      <w:r w:rsidR="002043FE">
        <w:rPr>
          <w:rStyle w:val="IGindeksgrny"/>
        </w:rPr>
        <w:t>1</w:t>
      </w:r>
      <w:r w:rsidR="00D16888">
        <w:rPr>
          <w:rStyle w:val="IGindeksgrny"/>
        </w:rPr>
        <w:t>1</w:t>
      </w:r>
      <w:r w:rsidRPr="002830EA">
        <w:rPr>
          <w:rStyle w:val="IGindeksgrny"/>
        </w:rPr>
        <w:t>)</w:t>
      </w:r>
      <w:r w:rsidRPr="00B84A14">
        <w:t xml:space="preserve"> ponad:</w:t>
      </w:r>
    </w:p>
    <w:p w14:paraId="3C716EB6" w14:textId="76FCA04E" w:rsidR="00B84A14" w:rsidRPr="00B84A14" w:rsidRDefault="00B84A14" w:rsidP="00AC13B0">
      <w:pPr>
        <w:pStyle w:val="TIRtiret"/>
      </w:pPr>
      <w:r w:rsidRPr="00B84A14">
        <w:t>-</w:t>
      </w:r>
      <w:r w:rsidR="00047D94">
        <w:t xml:space="preserve"> </w:t>
      </w:r>
      <w:r w:rsidRPr="00B84A14">
        <w:t xml:space="preserve">75 ton, jeżeli A wynosi nie mniej niż 10 </w:t>
      </w:r>
      <w:r w:rsidR="003442EB">
        <w:t>lub</w:t>
      </w:r>
    </w:p>
    <w:p w14:paraId="2F0C5310" w14:textId="6B10F7C9" w:rsidR="00B84A14" w:rsidRPr="00B84A14" w:rsidRDefault="00B84A14" w:rsidP="00AC13B0">
      <w:pPr>
        <w:pStyle w:val="TIRtiret"/>
      </w:pPr>
      <w:r w:rsidRPr="00B84A14">
        <w:t>-</w:t>
      </w:r>
      <w:r w:rsidR="00047D94">
        <w:t xml:space="preserve"> </w:t>
      </w:r>
      <w:r w:rsidRPr="00B84A14">
        <w:t>[300 − (22,5 × A)], jeżeli A jest mniejsze niż 10,</w:t>
      </w:r>
    </w:p>
    <w:p w14:paraId="2654D080" w14:textId="378B9473" w:rsidR="00B84A14" w:rsidRDefault="00B84A14" w:rsidP="00AC13B0">
      <w:pPr>
        <w:pStyle w:val="TIRtiret"/>
      </w:pPr>
      <w:r w:rsidRPr="00B84A14">
        <w:t>-</w:t>
      </w:r>
      <w:r w:rsidR="00047D94">
        <w:t xml:space="preserve"> </w:t>
      </w:r>
      <w:r w:rsidRPr="00B84A14">
        <w:t>gdzie ,,A'' oznacza zawartość materiału pochodzenia zwierzęcego, w procentach wagowych, w wyrobie gotowym</w:t>
      </w:r>
      <w:r w:rsidR="002043FE">
        <w:rPr>
          <w:rStyle w:val="IGindeksgrny"/>
        </w:rPr>
        <w:t>1</w:t>
      </w:r>
      <w:r w:rsidR="00D16888">
        <w:rPr>
          <w:rStyle w:val="IGindeksgrny"/>
        </w:rPr>
        <w:t>1</w:t>
      </w:r>
      <w:r w:rsidRPr="002830EA">
        <w:rPr>
          <w:rStyle w:val="IGindeksgrny"/>
        </w:rPr>
        <w:t>)</w:t>
      </w:r>
      <w:r w:rsidRPr="00B84A14">
        <w:t>;</w:t>
      </w:r>
    </w:p>
    <w:p w14:paraId="1D1F92C3" w14:textId="00CAE409" w:rsidR="00B84A14" w:rsidRPr="00B84A14" w:rsidRDefault="00B84A14" w:rsidP="00AC13B0">
      <w:pPr>
        <w:pStyle w:val="PKTpunkt"/>
      </w:pPr>
      <w:r w:rsidRPr="00B84A14">
        <w:t>6)</w:t>
      </w:r>
      <w:r w:rsidR="00047D94">
        <w:t xml:space="preserve"> </w:t>
      </w:r>
      <w:r w:rsidRPr="00B84A14">
        <w:t>do obróbki i przetwórstwa mleka o zdolności przyjmowania</w:t>
      </w:r>
      <w:r w:rsidR="000A7C09">
        <w:rPr>
          <w:rStyle w:val="IGindeksgrny"/>
        </w:rPr>
        <w:t>7</w:t>
      </w:r>
      <w:r w:rsidRPr="002830EA">
        <w:rPr>
          <w:rStyle w:val="IGindeksgrny"/>
        </w:rPr>
        <w:t>)</w:t>
      </w:r>
      <w:r w:rsidRPr="00B84A14">
        <w:t xml:space="preserve"> obliczonej jako wartość średnia w stosunku do produkcji rocznej, ponad 200 ton mleka na dobę;</w:t>
      </w:r>
    </w:p>
    <w:p w14:paraId="4A87CBE5" w14:textId="029AE219" w:rsidR="005F51F2" w:rsidRPr="00CE0104" w:rsidRDefault="00B84A14" w:rsidP="000A7C09">
      <w:pPr>
        <w:pStyle w:val="PKTpunkt"/>
        <w:rPr>
          <w:vertAlign w:val="superscript"/>
        </w:rPr>
      </w:pPr>
      <w:r w:rsidRPr="00B84A14">
        <w:t>7)</w:t>
      </w:r>
      <w:r w:rsidR="00047D94">
        <w:t xml:space="preserve"> </w:t>
      </w:r>
      <w:r w:rsidR="005F51F2" w:rsidRPr="005F51F2">
        <w:t xml:space="preserve">do </w:t>
      </w:r>
      <w:bookmarkStart w:id="1" w:name="_Hlk216692290"/>
      <w:r w:rsidR="005F51F2" w:rsidRPr="005F51F2">
        <w:t xml:space="preserve">unieszkodliwiania lub odzysku </w:t>
      </w:r>
      <w:r w:rsidR="004D06E2">
        <w:t xml:space="preserve">(recyklingu) </w:t>
      </w:r>
      <w:r w:rsidR="005F51F2" w:rsidRPr="005F51F2">
        <w:t>padłych lub ubitych zwierząt lub produktów ubocznych pochodzenia zwierzęcego o zdolności przetwarzania</w:t>
      </w:r>
      <w:r w:rsidR="000A7C09">
        <w:rPr>
          <w:rStyle w:val="IGindeksgrny"/>
        </w:rPr>
        <w:t>6</w:t>
      </w:r>
      <w:r w:rsidR="00D83416">
        <w:rPr>
          <w:rStyle w:val="IGindeksgrny"/>
        </w:rPr>
        <w:t>)</w:t>
      </w:r>
      <w:r w:rsidR="005F51F2" w:rsidRPr="005F51F2">
        <w:t xml:space="preserve"> ponad 10 ton </w:t>
      </w:r>
      <w:r w:rsidR="00D83416">
        <w:t>n</w:t>
      </w:r>
      <w:r w:rsidR="005F51F2" w:rsidRPr="005F51F2">
        <w:t>a dobę</w:t>
      </w:r>
    </w:p>
    <w:p w14:paraId="1B26ED2D" w14:textId="6190EE5F" w:rsidR="00B84A14" w:rsidRPr="00B84A14" w:rsidRDefault="00B84A14" w:rsidP="00AC13B0">
      <w:pPr>
        <w:pStyle w:val="PKTpunkt"/>
      </w:pPr>
      <w:bookmarkStart w:id="2" w:name="_Hlk215574161"/>
      <w:bookmarkEnd w:id="1"/>
      <w:r w:rsidRPr="00B84A14">
        <w:t>8)</w:t>
      </w:r>
      <w:r w:rsidR="00047D94">
        <w:t xml:space="preserve"> </w:t>
      </w:r>
      <w:r w:rsidRPr="00B84A14">
        <w:t>do chowu lub hodowli drobiu</w:t>
      </w:r>
      <w:r w:rsidR="00D16888">
        <w:rPr>
          <w:rStyle w:val="IGindeksgrny"/>
        </w:rPr>
        <w:t>12</w:t>
      </w:r>
      <w:r w:rsidRPr="00B84A14">
        <w:t xml:space="preserve"> lub świń:</w:t>
      </w:r>
    </w:p>
    <w:p w14:paraId="27F6799C" w14:textId="685D1FB9" w:rsidR="007A4AE7" w:rsidRPr="007A4AE7" w:rsidRDefault="007A4AE7" w:rsidP="007A4AE7">
      <w:pPr>
        <w:pStyle w:val="LITlitera"/>
        <w:rPr>
          <w:rStyle w:val="Ppogrubienie"/>
        </w:rPr>
      </w:pPr>
      <w:r w:rsidRPr="007A4AE7">
        <w:rPr>
          <w:rStyle w:val="Ppogrubienie"/>
        </w:rPr>
        <w:t xml:space="preserve">a) chów świń wynoszący co najmniej 350 </w:t>
      </w:r>
      <w:r w:rsidR="009B5922">
        <w:rPr>
          <w:rStyle w:val="Ppogrubienie"/>
        </w:rPr>
        <w:t>WPO</w:t>
      </w:r>
      <w:r w:rsidRPr="007A4AE7">
        <w:rPr>
          <w:rStyle w:val="Ppogrubienie"/>
        </w:rPr>
        <w:t xml:space="preserve">, z wyłączeniem działalności </w:t>
      </w:r>
      <w:r w:rsidR="00D83416">
        <w:rPr>
          <w:rStyle w:val="Ppogrubienie"/>
        </w:rPr>
        <w:br/>
      </w:r>
      <w:r w:rsidRPr="007A4AE7">
        <w:rPr>
          <w:rStyle w:val="Ppogrubienie"/>
        </w:rPr>
        <w:t xml:space="preserve">w zakresie chowu prowadzonej w ramach systemów produkcji ekologicznej zgodnie z rozporządzeniem (UE) 2018/848, lub jeżeli gęstość obsady jest mniejsza niż 2 </w:t>
      </w:r>
      <w:r w:rsidR="00636447">
        <w:rPr>
          <w:rStyle w:val="Ppogrubienie"/>
        </w:rPr>
        <w:t>WPO</w:t>
      </w:r>
      <w:r w:rsidRPr="007A4AE7">
        <w:rPr>
          <w:rStyle w:val="Ppogrubienie"/>
        </w:rPr>
        <w:t>/ha, wykorzystywanych wyłącznie do wypasu lub do uprawy paszy lub karmy wykorzystywanych do karmienia zwierząt, a zwierzęta pozostają na wolnym wybiegu przez znaczną część roku lub sezonowo.</w:t>
      </w:r>
    </w:p>
    <w:p w14:paraId="77FD60EF" w14:textId="5796F66A" w:rsidR="007A4AE7" w:rsidRPr="007A4AE7" w:rsidRDefault="007A4AE7" w:rsidP="007A4AE7">
      <w:pPr>
        <w:pStyle w:val="LITlitera"/>
        <w:rPr>
          <w:rStyle w:val="Ppogrubienie"/>
        </w:rPr>
      </w:pPr>
      <w:r w:rsidRPr="007A4AE7">
        <w:rPr>
          <w:rStyle w:val="Ppogrubienie"/>
        </w:rPr>
        <w:t xml:space="preserve">b) chów wyłącznie kur niosek wynoszący co najmniej 300 </w:t>
      </w:r>
      <w:r w:rsidR="009B5922">
        <w:rPr>
          <w:rStyle w:val="Ppogrubienie"/>
        </w:rPr>
        <w:t>WPO</w:t>
      </w:r>
      <w:r w:rsidRPr="007A4AE7">
        <w:rPr>
          <w:rStyle w:val="Ppogrubienie"/>
        </w:rPr>
        <w:t xml:space="preserve"> lub chów wyłącznie innych kategorii drobiu wynoszący co najmniej 280 </w:t>
      </w:r>
      <w:r w:rsidR="009B5922">
        <w:rPr>
          <w:rStyle w:val="Ppogrubienie"/>
        </w:rPr>
        <w:t>WPO</w:t>
      </w:r>
      <w:r w:rsidRPr="007A4AE7">
        <w:rPr>
          <w:rStyle w:val="Ppogrubienie"/>
        </w:rPr>
        <w:t xml:space="preserve">. W instalacjach, </w:t>
      </w:r>
      <w:r w:rsidR="00D83416">
        <w:rPr>
          <w:rStyle w:val="Ppogrubienie"/>
        </w:rPr>
        <w:br/>
      </w:r>
      <w:r w:rsidRPr="007A4AE7">
        <w:rPr>
          <w:rStyle w:val="Ppogrubienie"/>
        </w:rPr>
        <w:t xml:space="preserve">w których chowana jest kombinacja drobiu, w tym kur niosek, wartość progowa wynosi 280 </w:t>
      </w:r>
      <w:r w:rsidR="001C305F">
        <w:rPr>
          <w:rStyle w:val="Ppogrubienie"/>
        </w:rPr>
        <w:t>WPO</w:t>
      </w:r>
      <w:r w:rsidRPr="007A4AE7">
        <w:rPr>
          <w:rStyle w:val="Ppogrubienie"/>
        </w:rPr>
        <w:t>, a wydajność oblicza się przy użyciu 0,93 jako współczynnika ważenia (*) dla kur niosek.</w:t>
      </w:r>
    </w:p>
    <w:p w14:paraId="7363AD50" w14:textId="55782429" w:rsidR="007A4AE7" w:rsidRPr="007A4AE7" w:rsidRDefault="007A4AE7" w:rsidP="007A4AE7">
      <w:pPr>
        <w:pStyle w:val="LITlitera"/>
        <w:rPr>
          <w:rStyle w:val="Ppogrubienie"/>
        </w:rPr>
      </w:pPr>
      <w:r w:rsidRPr="007A4AE7">
        <w:rPr>
          <w:rStyle w:val="Ppogrubienie"/>
        </w:rPr>
        <w:t xml:space="preserve">c) chów wszelkiej kombinacji świń lub drobiu wynoszący co najmniej 380 </w:t>
      </w:r>
      <w:r w:rsidR="009B5922">
        <w:rPr>
          <w:rStyle w:val="Ppogrubienie"/>
        </w:rPr>
        <w:t>WPO</w:t>
      </w:r>
      <w:r w:rsidRPr="007A4AE7">
        <w:rPr>
          <w:rStyle w:val="Ppogrubienie"/>
        </w:rPr>
        <w:t xml:space="preserve">, </w:t>
      </w:r>
      <w:r w:rsidR="00D83416">
        <w:rPr>
          <w:rStyle w:val="Ppogrubienie"/>
        </w:rPr>
        <w:br/>
      </w:r>
      <w:r w:rsidRPr="007A4AE7">
        <w:rPr>
          <w:rStyle w:val="Ppogrubienie"/>
        </w:rPr>
        <w:t xml:space="preserve">z wyłączeniem chowu świń w instalacjach działających w ramach systemów produkcji ekologicznej zgodnie z rozporządzeniem (UE) 2018/848, lub jeżeli gęstość obsady jest mniejsza niż 2 </w:t>
      </w:r>
      <w:r w:rsidR="00636447">
        <w:rPr>
          <w:rStyle w:val="Ppogrubienie"/>
        </w:rPr>
        <w:t>WPO</w:t>
      </w:r>
      <w:r w:rsidRPr="007A4AE7">
        <w:rPr>
          <w:rStyle w:val="Ppogrubienie"/>
        </w:rPr>
        <w:t>/ha, wykorzystywanych wyłącznie do wypasu lub do uprawy paszy lub karmy wykorzystywanych do karmienia zwierząt, a zwierzęta pozostają na wolnym wybiegu przez znaczną część roku lub sezonowo.</w:t>
      </w:r>
    </w:p>
    <w:bookmarkEnd w:id="2"/>
    <w:p w14:paraId="797CB8DE" w14:textId="7B726A6D" w:rsidR="00B84A14" w:rsidRPr="00B84A14" w:rsidRDefault="00B84A14" w:rsidP="00AC13B0">
      <w:pPr>
        <w:pStyle w:val="PKTpunkt"/>
      </w:pPr>
      <w:r w:rsidRPr="00B84A14">
        <w:t>9)</w:t>
      </w:r>
      <w:r w:rsidR="00047D94">
        <w:t xml:space="preserve"> </w:t>
      </w:r>
      <w:r w:rsidRPr="00B84A14">
        <w:t>do powierzchniowej obróbki</w:t>
      </w:r>
      <w:r w:rsidR="000A7C09">
        <w:rPr>
          <w:rStyle w:val="IGindeksgrny"/>
        </w:rPr>
        <w:t>1</w:t>
      </w:r>
      <w:r w:rsidR="00D16888">
        <w:rPr>
          <w:rStyle w:val="IGindeksgrny"/>
        </w:rPr>
        <w:t>3</w:t>
      </w:r>
      <w:r w:rsidRPr="002830EA">
        <w:rPr>
          <w:rStyle w:val="IGindeksgrny"/>
        </w:rPr>
        <w:t xml:space="preserve">) </w:t>
      </w:r>
      <w:r w:rsidRPr="00B84A14">
        <w:t>substancji, przedmiotów lub produktów z wykorzystaniem rozpuszczalników organicznych</w:t>
      </w:r>
      <w:r w:rsidR="000A7C09">
        <w:rPr>
          <w:rStyle w:val="IGindeksgrny"/>
        </w:rPr>
        <w:t>1</w:t>
      </w:r>
      <w:r w:rsidR="00D16888">
        <w:rPr>
          <w:rStyle w:val="IGindeksgrny"/>
        </w:rPr>
        <w:t>4</w:t>
      </w:r>
      <w:r w:rsidRPr="002830EA">
        <w:rPr>
          <w:rStyle w:val="IGindeksgrny"/>
        </w:rPr>
        <w:t>)</w:t>
      </w:r>
      <w:r w:rsidRPr="00B84A14">
        <w:t>, o zużyciu rozpuszczalnika ponad 150 kg na godzinę lub ponad 200 ton rocznie;</w:t>
      </w:r>
    </w:p>
    <w:p w14:paraId="1848C3FA" w14:textId="778F6C70" w:rsidR="00B84A14" w:rsidRPr="00B84A14" w:rsidRDefault="00B84A14" w:rsidP="00AC13B0">
      <w:pPr>
        <w:pStyle w:val="PKTpunkt"/>
      </w:pPr>
      <w:r w:rsidRPr="00B84A14">
        <w:lastRenderedPageBreak/>
        <w:t>10)</w:t>
      </w:r>
      <w:r w:rsidR="00047D94">
        <w:t xml:space="preserve"> </w:t>
      </w:r>
      <w:r w:rsidRPr="00B84A14">
        <w:t>do produkcji węgla pierwiastkowego lub elektrografitu poprzez spopielenie lub grafityzację;</w:t>
      </w:r>
    </w:p>
    <w:p w14:paraId="3594278C" w14:textId="37B4E8D1" w:rsidR="00B84A14" w:rsidRPr="00B84A14" w:rsidRDefault="00B84A14" w:rsidP="00AC13B0">
      <w:pPr>
        <w:pStyle w:val="PKTpunkt"/>
      </w:pPr>
      <w:r w:rsidRPr="00B84A14">
        <w:t>11)</w:t>
      </w:r>
      <w:r w:rsidR="00047D94">
        <w:t xml:space="preserve"> </w:t>
      </w:r>
      <w:r w:rsidRPr="00B84A14">
        <w:t>do wychwytywania strumieni dwutlenku węgla z instalacji objętych obowiązkiem uzyskania pozwolenia zintegrowanego na użytek podziemnego składowania dwutlenku węgla;</w:t>
      </w:r>
    </w:p>
    <w:p w14:paraId="0771A2EB" w14:textId="6F69D09B" w:rsidR="00B84A14" w:rsidRPr="00B84A14" w:rsidRDefault="00B84A14" w:rsidP="00AC13B0">
      <w:pPr>
        <w:pStyle w:val="PKTpunkt"/>
      </w:pPr>
      <w:r w:rsidRPr="00B84A14">
        <w:t>12)</w:t>
      </w:r>
      <w:r w:rsidR="00047D94">
        <w:t xml:space="preserve"> </w:t>
      </w:r>
      <w:r w:rsidRPr="00B84A14">
        <w:t>do konserwacji drewna i produktów z drewna środkami chemicznymi o zdolności produkcyjnej</w:t>
      </w:r>
      <w:r w:rsidR="000A7C09">
        <w:rPr>
          <w:rStyle w:val="IGindeksgrny"/>
        </w:rPr>
        <w:t>4</w:t>
      </w:r>
      <w:r w:rsidRPr="002830EA">
        <w:rPr>
          <w:rStyle w:val="IGindeksgrny"/>
        </w:rPr>
        <w:t>)</w:t>
      </w:r>
      <w:r w:rsidRPr="00B84A14">
        <w:t xml:space="preserve"> ponad 75 m</w:t>
      </w:r>
      <w:r w:rsidRPr="002830EA">
        <w:rPr>
          <w:rStyle w:val="IGindeksgrny"/>
        </w:rPr>
        <w:t>3</w:t>
      </w:r>
      <w:r w:rsidRPr="00B84A14">
        <w:t xml:space="preserve"> na dobę, innymi niż przeznaczonymi wyłącznie do stosowania w przypadku sinizny;</w:t>
      </w:r>
    </w:p>
    <w:p w14:paraId="3337A99A" w14:textId="63FD5FA6" w:rsidR="00B84A14" w:rsidRDefault="00B84A14" w:rsidP="00AC13B0">
      <w:pPr>
        <w:pStyle w:val="PKTpunkt"/>
      </w:pPr>
      <w:r w:rsidRPr="00B84A14">
        <w:t>13)</w:t>
      </w:r>
      <w:r w:rsidR="006F7DBF">
        <w:t xml:space="preserve"> </w:t>
      </w:r>
      <w:r w:rsidRPr="00B84A14">
        <w:t>do oczyszczania ścieków, z wyjątkiem oczyszczalni ścieków komunalnych, pochodzących z instalacji wymagających uzyskania pozwolenia zintegrowanego</w:t>
      </w:r>
      <w:r w:rsidR="00250A2C">
        <w:t>;</w:t>
      </w:r>
    </w:p>
    <w:p w14:paraId="07F35263" w14:textId="4974B1A2" w:rsidR="00250A2C" w:rsidRPr="00D429EA" w:rsidRDefault="00250A2C" w:rsidP="00AC13B0">
      <w:pPr>
        <w:pStyle w:val="PKTpunkt"/>
        <w:rPr>
          <w:rStyle w:val="Ppogrubienie"/>
        </w:rPr>
      </w:pPr>
      <w:r w:rsidRPr="00D429EA">
        <w:rPr>
          <w:rStyle w:val="Ppogrubienie"/>
        </w:rPr>
        <w:t>14) do produkcji wodoru</w:t>
      </w:r>
      <w:r w:rsidR="00351A7D">
        <w:rPr>
          <w:rStyle w:val="Ppogrubienie"/>
        </w:rPr>
        <w:t xml:space="preserve"> </w:t>
      </w:r>
      <w:r w:rsidR="000F32B3">
        <w:rPr>
          <w:rStyle w:val="Ppogrubienie"/>
        </w:rPr>
        <w:t>w drodze</w:t>
      </w:r>
      <w:r w:rsidR="00351A7D">
        <w:rPr>
          <w:rStyle w:val="Ppogrubienie"/>
        </w:rPr>
        <w:t xml:space="preserve"> elektroliz</w:t>
      </w:r>
      <w:r w:rsidR="000F32B3">
        <w:rPr>
          <w:rStyle w:val="Ppogrubienie"/>
        </w:rPr>
        <w:t>y</w:t>
      </w:r>
      <w:r w:rsidR="00351A7D">
        <w:rPr>
          <w:rStyle w:val="Ppogrubienie"/>
        </w:rPr>
        <w:t xml:space="preserve"> wody</w:t>
      </w:r>
      <w:r w:rsidRPr="00D429EA">
        <w:rPr>
          <w:rStyle w:val="Ppogrubienie"/>
        </w:rPr>
        <w:t>,</w:t>
      </w:r>
      <w:r w:rsidR="00351A7D">
        <w:rPr>
          <w:rStyle w:val="Ppogrubienie"/>
        </w:rPr>
        <w:t xml:space="preserve"> o</w:t>
      </w:r>
      <w:r w:rsidRPr="00D429EA">
        <w:rPr>
          <w:rStyle w:val="Ppogrubienie"/>
        </w:rPr>
        <w:t xml:space="preserve"> zdolnoś</w:t>
      </w:r>
      <w:r w:rsidR="00D429EA" w:rsidRPr="00D429EA">
        <w:rPr>
          <w:rStyle w:val="Ppogrubienie"/>
        </w:rPr>
        <w:t xml:space="preserve">ci produkcyjnej ponad </w:t>
      </w:r>
      <w:r w:rsidRPr="00D429EA">
        <w:rPr>
          <w:rStyle w:val="Ppogrubienie"/>
        </w:rPr>
        <w:t xml:space="preserve">50 ton </w:t>
      </w:r>
      <w:r w:rsidR="00351A7D">
        <w:rPr>
          <w:rStyle w:val="Ppogrubienie"/>
        </w:rPr>
        <w:t xml:space="preserve">wodoru </w:t>
      </w:r>
      <w:r w:rsidR="00D429EA" w:rsidRPr="00D429EA">
        <w:rPr>
          <w:rStyle w:val="Ppogrubienie"/>
        </w:rPr>
        <w:t>na dobę.</w:t>
      </w:r>
    </w:p>
    <w:p w14:paraId="7972357C" w14:textId="77777777" w:rsidR="00B84A14" w:rsidRPr="00B84A14" w:rsidRDefault="00B84A14" w:rsidP="00B84A14"/>
    <w:p w14:paraId="5B213684" w14:textId="40EEFEFE" w:rsidR="00B84A14" w:rsidRPr="00B84A14" w:rsidRDefault="00B84A14" w:rsidP="00B84A14">
      <w:r w:rsidRPr="00B84A14">
        <w:t>Uwaga:</w:t>
      </w:r>
    </w:p>
    <w:p w14:paraId="2435421E" w14:textId="77777777" w:rsidR="00B84A14" w:rsidRPr="00B84A14" w:rsidRDefault="00B84A14" w:rsidP="00B84A14">
      <w:r w:rsidRPr="00B84A14">
        <w:t>Parametry tego samego rodzaju, charakteryzujące skalę działalności prowadzonej w instalacji, odnoszące się do instalacji tego samego rodzaju położonych na terenie jednego zakładu, wymienione w ust. 1-3, 5 pkt 1, pkt 3 lit. a i b oraz ust. 6, sumuje się.</w:t>
      </w:r>
    </w:p>
    <w:p w14:paraId="2A363C69" w14:textId="77777777" w:rsidR="00B84A14" w:rsidRPr="00B84A14" w:rsidRDefault="00B84A14" w:rsidP="00B84A14"/>
    <w:p w14:paraId="239CC8DA" w14:textId="2BB9246D" w:rsidR="00B84A14" w:rsidRDefault="00B84A14" w:rsidP="00B84A14">
      <w:r w:rsidRPr="00B84A14">
        <w:t>Objaśnienia:</w:t>
      </w:r>
    </w:p>
    <w:p w14:paraId="67727016" w14:textId="77777777" w:rsidR="00D40741" w:rsidRDefault="00D40741" w:rsidP="00D40741">
      <w:r>
        <w:t>1) Powiązanie funkcjonalne to w szczególności:</w:t>
      </w:r>
    </w:p>
    <w:p w14:paraId="2C42F035" w14:textId="77777777" w:rsidR="00D40741" w:rsidRDefault="00D40741" w:rsidP="00D40741">
      <w:r>
        <w:t xml:space="preserve">- wspólna sieć wodociągowa </w:t>
      </w:r>
    </w:p>
    <w:p w14:paraId="1F05F088" w14:textId="77777777" w:rsidR="00D40741" w:rsidRDefault="00D40741" w:rsidP="00D40741">
      <w:r>
        <w:t>- wspólna sieć elektryczna</w:t>
      </w:r>
    </w:p>
    <w:p w14:paraId="41E94BA0" w14:textId="77777777" w:rsidR="00D40741" w:rsidRDefault="00D40741" w:rsidP="00D40741">
      <w:r>
        <w:t>- drogi wewnętrzne i dojazdowe</w:t>
      </w:r>
    </w:p>
    <w:p w14:paraId="69181AD2" w14:textId="77777777" w:rsidR="00A8608E" w:rsidRDefault="00A8608E" w:rsidP="00A8608E">
      <w:r>
        <w:t>- wspólne miejsce magazynowania obornika, gnojówki, gnojowicy lub pomiotu</w:t>
      </w:r>
    </w:p>
    <w:p w14:paraId="5CC9E971" w14:textId="77777777" w:rsidR="00A8608E" w:rsidRPr="00B84A14" w:rsidRDefault="00A8608E" w:rsidP="00A8608E">
      <w:r>
        <w:t>- wspólny magazyn paszy</w:t>
      </w:r>
    </w:p>
    <w:p w14:paraId="28E011E9" w14:textId="3FBCC346" w:rsidR="00B84A14" w:rsidRPr="00B84A14" w:rsidRDefault="00D40741" w:rsidP="00B84A14">
      <w:r>
        <w:t>2)</w:t>
      </w:r>
      <w:r w:rsidR="00CE0104">
        <w:t xml:space="preserve"> </w:t>
      </w:r>
      <w:r w:rsidR="00B84A14" w:rsidRPr="00B84A14">
        <w:t>Wszelkie stałe, płynne lub gazowe materiały palne.</w:t>
      </w:r>
    </w:p>
    <w:p w14:paraId="43B04EE1" w14:textId="479C310A" w:rsidR="00B84A14" w:rsidRPr="00B84A14" w:rsidRDefault="00D40741" w:rsidP="00B84A14">
      <w:r>
        <w:t>3)</w:t>
      </w:r>
      <w:r w:rsidR="00B84A14" w:rsidRPr="00B84A14">
        <w:t xml:space="preserve"> Ilość energii wprowadzonej w paliwie w jednostce czasu przy nominalnym obciążeniu instalacji.</w:t>
      </w:r>
    </w:p>
    <w:p w14:paraId="62FC0870" w14:textId="1946A274" w:rsidR="00B84A14" w:rsidRPr="00B84A14" w:rsidRDefault="00D40741" w:rsidP="00B84A14">
      <w:r>
        <w:t>4)</w:t>
      </w:r>
      <w:r w:rsidR="00CE0104">
        <w:t xml:space="preserve"> </w:t>
      </w:r>
      <w:r w:rsidR="00B84A14" w:rsidRPr="00B84A14">
        <w:t>Największa ilość określonego wyrobu lub wyrobów, która może być wytworzona w jednostce czasu w normalnych warunkach pracy instalacji.</w:t>
      </w:r>
    </w:p>
    <w:p w14:paraId="21F6B273" w14:textId="499B226C" w:rsidR="00B84A14" w:rsidRPr="00B84A14" w:rsidRDefault="00D40741" w:rsidP="002830EA">
      <w:r>
        <w:t>5)</w:t>
      </w:r>
      <w:r w:rsidR="00B84A14" w:rsidRPr="00B84A14">
        <w:t xml:space="preserve"> W rozumieniu ustawy z dnia 6 września 2001 r. - Prawo farmaceutyczne (</w:t>
      </w:r>
      <w:r w:rsidR="002830EA" w:rsidRPr="002830EA">
        <w:t>Dz. U. z 2025 r.</w:t>
      </w:r>
      <w:r w:rsidR="00CE0104">
        <w:t xml:space="preserve"> </w:t>
      </w:r>
      <w:r w:rsidR="002830EA" w:rsidRPr="002830EA">
        <w:t>poz. 750</w:t>
      </w:r>
      <w:r w:rsidR="002830EA">
        <w:t xml:space="preserve"> ze zm.</w:t>
      </w:r>
      <w:r w:rsidR="00B84A14" w:rsidRPr="00B84A14">
        <w:t>).</w:t>
      </w:r>
    </w:p>
    <w:p w14:paraId="05E466BB" w14:textId="5F8462B2" w:rsidR="00B84A14" w:rsidRPr="00B84A14" w:rsidRDefault="00D40741" w:rsidP="00B84A14">
      <w:r>
        <w:t>6)</w:t>
      </w:r>
      <w:r w:rsidR="00B84A14" w:rsidRPr="00B84A14">
        <w:t xml:space="preserve"> </w:t>
      </w:r>
      <w:bookmarkStart w:id="3" w:name="_Hlk216692676"/>
      <w:r w:rsidR="00B84A14" w:rsidRPr="00B84A14">
        <w:t xml:space="preserve">Największa ilość określonego </w:t>
      </w:r>
      <w:r w:rsidR="00FE28A2">
        <w:t>surowca lub określonych surowców (</w:t>
      </w:r>
      <w:r w:rsidR="00B84A14" w:rsidRPr="00B84A14">
        <w:t>odpadu lub odpadów</w:t>
      </w:r>
      <w:r w:rsidR="00FE28A2">
        <w:t>)</w:t>
      </w:r>
      <w:r w:rsidR="00B84A14" w:rsidRPr="00B84A14">
        <w:t xml:space="preserve">, </w:t>
      </w:r>
      <w:r w:rsidR="00B84A14" w:rsidRPr="00B84A14">
        <w:lastRenderedPageBreak/>
        <w:t>która może być przetworzona w jednostce czasu w normalnych warunkach pracy instalacji.</w:t>
      </w:r>
      <w:bookmarkEnd w:id="3"/>
    </w:p>
    <w:p w14:paraId="35ED9C98" w14:textId="74CB4238" w:rsidR="00D16888" w:rsidRDefault="00D16888" w:rsidP="00B84A14">
      <w:r>
        <w:t>7</w:t>
      </w:r>
      <w:r w:rsidR="00B84A14" w:rsidRPr="00B84A14">
        <w:t xml:space="preserve">) </w:t>
      </w:r>
      <w:r w:rsidRPr="00D16888">
        <w:t xml:space="preserve">Obróbka fizyczno-chemiczna - rozumie się przez to obróbkę fizyczną, chemiczną  </w:t>
      </w:r>
      <w:r w:rsidRPr="00D16888">
        <w:br/>
        <w:t>i fizyczno-chemiczną kwalifikowaną jako proces D9 zgodnie z załącznikiem nr 2 do ustawy z dnia 14 grudnia 2012 r. o odpadach</w:t>
      </w:r>
      <w:r w:rsidR="00CE0104">
        <w:t>.</w:t>
      </w:r>
    </w:p>
    <w:p w14:paraId="5D2B2263" w14:textId="46DEFFC2" w:rsidR="00B84A14" w:rsidRPr="00B84A14" w:rsidRDefault="00D16888" w:rsidP="00B84A14">
      <w:r>
        <w:t xml:space="preserve">8) </w:t>
      </w:r>
      <w:r w:rsidR="00B84A14" w:rsidRPr="00B84A14">
        <w:t>Największa ilość określonych surowców, która może być przyjmowana w jednostce czasu w normalnych warunkach pracy instalacji.</w:t>
      </w:r>
    </w:p>
    <w:p w14:paraId="1CCF060B" w14:textId="1D5571F6" w:rsidR="00D16888" w:rsidRPr="00D16888" w:rsidRDefault="00D40741" w:rsidP="00D16888">
      <w:r>
        <w:t>9)</w:t>
      </w:r>
      <w:r w:rsidR="00B84A14" w:rsidRPr="00B84A14">
        <w:t xml:space="preserve"> </w:t>
      </w:r>
      <w:r w:rsidR="00D16888" w:rsidRPr="00D16888">
        <w:t>z wyłączeniem magazynowania w ramach Punktów Selektywnej Zbiórki Odpadów komunalnych (PSZOK) prowadzonych samodzielnie przez gminę lub wspólnie z inną gminą lub gminami na podstawie ustawy dnia 14 grudnia 2012 r. o odpadach</w:t>
      </w:r>
      <w:r w:rsidR="00CE0104">
        <w:t>.</w:t>
      </w:r>
    </w:p>
    <w:p w14:paraId="6CCFF9A5" w14:textId="1CEC7216" w:rsidR="00B84A14" w:rsidRPr="00B84A14" w:rsidRDefault="00D16888" w:rsidP="00B84A14">
      <w:r>
        <w:t xml:space="preserve">10) </w:t>
      </w:r>
      <w:r w:rsidR="00B84A14" w:rsidRPr="00B84A14">
        <w:t>Obróbką wstępną jest w szczególności:</w:t>
      </w:r>
    </w:p>
    <w:p w14:paraId="01A9191E" w14:textId="0BF8F92D" w:rsidR="00B84A14" w:rsidRPr="003C71A0" w:rsidRDefault="009B6D10" w:rsidP="00CE0104">
      <w:pPr>
        <w:pStyle w:val="PKTpunkt"/>
      </w:pPr>
      <w:r>
        <w:t xml:space="preserve">- </w:t>
      </w:r>
      <w:r w:rsidR="00B84A14" w:rsidRPr="003C71A0">
        <w:t>mycie;</w:t>
      </w:r>
    </w:p>
    <w:p w14:paraId="4C3925F1" w14:textId="697BEFF6" w:rsidR="00B84A14" w:rsidRPr="003C71A0" w:rsidRDefault="009B6D10" w:rsidP="00CE0104">
      <w:pPr>
        <w:pStyle w:val="PKTpunkt"/>
        <w:ind w:left="0" w:firstLine="0"/>
      </w:pPr>
      <w:r>
        <w:t xml:space="preserve">- </w:t>
      </w:r>
      <w:r w:rsidR="00B84A14" w:rsidRPr="003C71A0">
        <w:t xml:space="preserve"> bielenie;</w:t>
      </w:r>
    </w:p>
    <w:p w14:paraId="64D874D6" w14:textId="52B1AE8C" w:rsidR="00B84A14" w:rsidRPr="003C71A0" w:rsidRDefault="009B6D10" w:rsidP="00CE0104">
      <w:pPr>
        <w:pStyle w:val="PKTpunkt"/>
        <w:ind w:left="0" w:firstLine="0"/>
      </w:pPr>
      <w:r>
        <w:t xml:space="preserve">- </w:t>
      </w:r>
      <w:r w:rsidR="00B84A14" w:rsidRPr="003C71A0">
        <w:t xml:space="preserve"> merceryzacja.</w:t>
      </w:r>
    </w:p>
    <w:p w14:paraId="2D0D3761" w14:textId="7201A15D" w:rsidR="00B84A14" w:rsidRPr="00B84A14" w:rsidRDefault="00D40741" w:rsidP="00B84A14">
      <w:r>
        <w:t>1</w:t>
      </w:r>
      <w:r w:rsidR="00D16888">
        <w:t>1</w:t>
      </w:r>
      <w:r>
        <w:t>)</w:t>
      </w:r>
      <w:r w:rsidR="00B84A14" w:rsidRPr="00B84A14">
        <w:t xml:space="preserve"> Dotyczy masy netto wyrobu gotowego.</w:t>
      </w:r>
    </w:p>
    <w:p w14:paraId="2D9363BE" w14:textId="6834CE75" w:rsidR="00B84A14" w:rsidRPr="00B84A14" w:rsidRDefault="00D16888" w:rsidP="00B84A14">
      <w:r>
        <w:t>12</w:t>
      </w:r>
      <w:r w:rsidR="00B84A14" w:rsidRPr="00B84A14">
        <w:t>) Oznacza:</w:t>
      </w:r>
    </w:p>
    <w:p w14:paraId="0F048DCA" w14:textId="4CE148FA" w:rsidR="00B84A14" w:rsidRPr="00B84A14" w:rsidRDefault="009B6D10" w:rsidP="00B84A14">
      <w:r>
        <w:t xml:space="preserve">- </w:t>
      </w:r>
      <w:r w:rsidR="00B84A14" w:rsidRPr="00B84A14">
        <w:t xml:space="preserve"> kury,</w:t>
      </w:r>
    </w:p>
    <w:p w14:paraId="37CC2DFC" w14:textId="79B97CED" w:rsidR="00B84A14" w:rsidRPr="00B84A14" w:rsidRDefault="009B6D10" w:rsidP="00B84A14">
      <w:r>
        <w:t xml:space="preserve">- </w:t>
      </w:r>
      <w:r w:rsidR="00B84A14" w:rsidRPr="00B84A14">
        <w:t xml:space="preserve"> kaczki,</w:t>
      </w:r>
    </w:p>
    <w:p w14:paraId="20D07491" w14:textId="5BFA95B2" w:rsidR="00B84A14" w:rsidRPr="00B84A14" w:rsidRDefault="009B6D10" w:rsidP="00B84A14">
      <w:r>
        <w:t xml:space="preserve">- </w:t>
      </w:r>
      <w:r w:rsidR="00B84A14" w:rsidRPr="00B84A14">
        <w:t xml:space="preserve"> gęsi,</w:t>
      </w:r>
    </w:p>
    <w:p w14:paraId="4CDDBE4C" w14:textId="374DA269" w:rsidR="00B84A14" w:rsidRPr="00B84A14" w:rsidRDefault="009B6D10" w:rsidP="00B84A14">
      <w:r>
        <w:t xml:space="preserve">- </w:t>
      </w:r>
      <w:r w:rsidR="00B84A14" w:rsidRPr="00B84A14">
        <w:t>indyki,</w:t>
      </w:r>
    </w:p>
    <w:p w14:paraId="6051424E" w14:textId="385C5A54" w:rsidR="00B84A14" w:rsidRPr="00B84A14" w:rsidRDefault="009B6D10" w:rsidP="00B84A14">
      <w:r>
        <w:t xml:space="preserve">- </w:t>
      </w:r>
      <w:r w:rsidR="00B84A14" w:rsidRPr="00B84A14">
        <w:t xml:space="preserve"> przepiórki,</w:t>
      </w:r>
    </w:p>
    <w:p w14:paraId="76A3DA1D" w14:textId="4A022D98" w:rsidR="00B84A14" w:rsidRPr="00B84A14" w:rsidRDefault="009B6D10" w:rsidP="00B84A14">
      <w:r>
        <w:t xml:space="preserve">- </w:t>
      </w:r>
      <w:r w:rsidR="00B84A14" w:rsidRPr="00B84A14">
        <w:t xml:space="preserve"> perlice,</w:t>
      </w:r>
    </w:p>
    <w:p w14:paraId="492C7A40" w14:textId="509BFB55" w:rsidR="00B84A14" w:rsidRPr="00B84A14" w:rsidRDefault="009B6D10" w:rsidP="00B84A14">
      <w:r>
        <w:t xml:space="preserve">- </w:t>
      </w:r>
      <w:r w:rsidR="00B84A14" w:rsidRPr="00B84A14">
        <w:t xml:space="preserve"> strusie,</w:t>
      </w:r>
    </w:p>
    <w:p w14:paraId="1765763F" w14:textId="0B05C0ED" w:rsidR="00B84A14" w:rsidRPr="00B84A14" w:rsidRDefault="009B6D10" w:rsidP="00B84A14">
      <w:r>
        <w:t xml:space="preserve">- </w:t>
      </w:r>
      <w:r w:rsidR="00B84A14" w:rsidRPr="00B84A14">
        <w:t>bezgrzebieniowce inne niż wskazane w pkt 7,</w:t>
      </w:r>
    </w:p>
    <w:p w14:paraId="0C599A8E" w14:textId="76C6FDCA" w:rsidR="00B84A14" w:rsidRPr="00B84A14" w:rsidRDefault="009B6D10" w:rsidP="00B84A14">
      <w:r>
        <w:t xml:space="preserve">- </w:t>
      </w:r>
      <w:r w:rsidR="00B84A14" w:rsidRPr="00B84A14">
        <w:t>gołębie,</w:t>
      </w:r>
    </w:p>
    <w:p w14:paraId="421120D6" w14:textId="4B032957" w:rsidR="00B84A14" w:rsidRPr="00B84A14" w:rsidRDefault="009B6D10" w:rsidP="00B84A14">
      <w:r>
        <w:t xml:space="preserve">- </w:t>
      </w:r>
      <w:r w:rsidR="00B84A14" w:rsidRPr="00B84A14">
        <w:t xml:space="preserve"> bażanty,</w:t>
      </w:r>
    </w:p>
    <w:p w14:paraId="095A4573" w14:textId="43985310" w:rsidR="00B84A14" w:rsidRPr="00B84A14" w:rsidRDefault="009B6D10" w:rsidP="00B84A14">
      <w:r>
        <w:t xml:space="preserve">- </w:t>
      </w:r>
      <w:r w:rsidR="00B84A14" w:rsidRPr="00B84A14">
        <w:t xml:space="preserve"> kuropatwy</w:t>
      </w:r>
      <w:r w:rsidR="00CE0104">
        <w:t>,</w:t>
      </w:r>
    </w:p>
    <w:p w14:paraId="7420017F" w14:textId="2793AA39" w:rsidR="00B84A14" w:rsidRPr="00B84A14" w:rsidRDefault="00B84A14" w:rsidP="00B84A14">
      <w:r w:rsidRPr="00B84A14">
        <w:t>utrzymywane w celach rozpłodowych, produkcji mięsa lub jaj spożywczych lub odtworzenia zasobów ptactwa łownego.</w:t>
      </w:r>
    </w:p>
    <w:p w14:paraId="3FE7F919" w14:textId="1D64CA2D" w:rsidR="00B84A14" w:rsidRPr="00B84A14" w:rsidRDefault="00D16888" w:rsidP="00B84A14">
      <w:r>
        <w:t>13</w:t>
      </w:r>
      <w:r w:rsidR="00B84A14" w:rsidRPr="00B84A14">
        <w:t>) Powierzchniowa obróbka substancji, przedmiotów lub produktów z wykorzystaniem rozpuszczalników organicznych to w szczególności:</w:t>
      </w:r>
    </w:p>
    <w:p w14:paraId="1FB03209" w14:textId="3EACD03A" w:rsidR="00B84A14" w:rsidRPr="00B84A14" w:rsidRDefault="009B6D10" w:rsidP="00B84A14">
      <w:r>
        <w:t xml:space="preserve">- </w:t>
      </w:r>
      <w:r w:rsidR="00B84A14" w:rsidRPr="00B84A14">
        <w:t xml:space="preserve"> drukowanie;</w:t>
      </w:r>
    </w:p>
    <w:p w14:paraId="4BA0144A" w14:textId="705AF7E9" w:rsidR="00B84A14" w:rsidRPr="00B84A14" w:rsidRDefault="009B6D10" w:rsidP="00B84A14">
      <w:r>
        <w:t xml:space="preserve">- </w:t>
      </w:r>
      <w:r w:rsidR="00B84A14" w:rsidRPr="00B84A14">
        <w:t xml:space="preserve"> po</w:t>
      </w:r>
      <w:r w:rsidR="00A8608E">
        <w:t>wlekanie</w:t>
      </w:r>
      <w:r w:rsidR="00B84A14" w:rsidRPr="00B84A14">
        <w:t>;</w:t>
      </w:r>
    </w:p>
    <w:p w14:paraId="7A815F4D" w14:textId="2022C9CB" w:rsidR="00B84A14" w:rsidRPr="00B84A14" w:rsidRDefault="009B6D10" w:rsidP="00B84A14">
      <w:r>
        <w:t xml:space="preserve">- </w:t>
      </w:r>
      <w:r w:rsidR="00B84A14" w:rsidRPr="00B84A14">
        <w:t xml:space="preserve"> zdobienie;</w:t>
      </w:r>
    </w:p>
    <w:p w14:paraId="2911019D" w14:textId="71A42CFC" w:rsidR="00B84A14" w:rsidRPr="00B84A14" w:rsidRDefault="009B6D10" w:rsidP="00B84A14">
      <w:r>
        <w:lastRenderedPageBreak/>
        <w:t xml:space="preserve">- </w:t>
      </w:r>
      <w:r w:rsidR="00B84A14" w:rsidRPr="00B84A14">
        <w:t xml:space="preserve"> odtłuszczanie;</w:t>
      </w:r>
    </w:p>
    <w:p w14:paraId="66BF42EF" w14:textId="425EC13F" w:rsidR="00B84A14" w:rsidRPr="00B84A14" w:rsidRDefault="009B6D10" w:rsidP="00B84A14">
      <w:r>
        <w:t xml:space="preserve">- </w:t>
      </w:r>
      <w:r w:rsidR="00B84A14" w:rsidRPr="00B84A14">
        <w:t xml:space="preserve"> uszczelnianie;</w:t>
      </w:r>
    </w:p>
    <w:p w14:paraId="58B77D16" w14:textId="482877E9" w:rsidR="00B84A14" w:rsidRPr="00B84A14" w:rsidRDefault="009B6D10" w:rsidP="00B84A14">
      <w:r>
        <w:t xml:space="preserve">- </w:t>
      </w:r>
      <w:r w:rsidR="00B84A14" w:rsidRPr="00B84A14">
        <w:t xml:space="preserve"> klejenie;</w:t>
      </w:r>
    </w:p>
    <w:p w14:paraId="12468A44" w14:textId="538D004F" w:rsidR="00B84A14" w:rsidRPr="00B84A14" w:rsidRDefault="009B6D10" w:rsidP="00B84A14">
      <w:r>
        <w:t xml:space="preserve">- </w:t>
      </w:r>
      <w:r w:rsidR="00B84A14" w:rsidRPr="00B84A14">
        <w:t xml:space="preserve"> malowanie</w:t>
      </w:r>
      <w:r w:rsidR="006F7DBF">
        <w:t>;</w:t>
      </w:r>
    </w:p>
    <w:p w14:paraId="39D1B7C8" w14:textId="6351A84B" w:rsidR="00B84A14" w:rsidRPr="00B84A14" w:rsidRDefault="009B6D10" w:rsidP="00B84A14">
      <w:r>
        <w:t xml:space="preserve">- </w:t>
      </w:r>
      <w:r w:rsidR="00B84A14" w:rsidRPr="00B84A14">
        <w:t xml:space="preserve"> czyszczenie;</w:t>
      </w:r>
    </w:p>
    <w:p w14:paraId="02FAAAE8" w14:textId="4EB23E08" w:rsidR="00B84A14" w:rsidRPr="00B84A14" w:rsidRDefault="009B6D10" w:rsidP="00B84A14">
      <w:r>
        <w:t xml:space="preserve">- </w:t>
      </w:r>
      <w:r w:rsidR="00B84A14" w:rsidRPr="00B84A14">
        <w:t xml:space="preserve"> impregnowanie.</w:t>
      </w:r>
    </w:p>
    <w:p w14:paraId="00D6C6A7" w14:textId="27028B41" w:rsidR="00B84A14" w:rsidRDefault="00D16888" w:rsidP="00B84A14">
      <w:r>
        <w:t>14</w:t>
      </w:r>
      <w:r w:rsidR="00B84A14" w:rsidRPr="00B84A14">
        <w:t xml:space="preserve">) Rozpuszczalniki organiczne - lotne związki organiczne mające w temperaturze 293,15 K prężność par nie mniejszą niż 0,01 </w:t>
      </w:r>
      <w:proofErr w:type="spellStart"/>
      <w:r w:rsidR="00B84A14" w:rsidRPr="00B84A14">
        <w:t>kPa</w:t>
      </w:r>
      <w:proofErr w:type="spellEnd"/>
      <w:r w:rsidR="00B84A14" w:rsidRPr="00B84A14">
        <w:t>, względnie posiadające analogiczną lotność w szczególnych warunkach użytkowania, które są stosowane oddzielnie lub w połączeniu z innymi substancjami i które nie podlegają przemianie chemicznej, w celu rozpuszczania surowców, produktów, materiałów odpadowych lub zanieczyszczeń, lub LZO, które są stosowane jako czynnik rozpuszczający, czynnik dyspergujący, regulator lepkości, regulator napięcia powierzchniowego, plastyfikator lub konserwant.</w:t>
      </w:r>
    </w:p>
    <w:p w14:paraId="45F9B8B4" w14:textId="77777777" w:rsidR="00AB6034" w:rsidRDefault="00AB6034" w:rsidP="00B84A14"/>
    <w:p w14:paraId="505B2691" w14:textId="77777777" w:rsidR="009C70FF" w:rsidRDefault="009C70FF" w:rsidP="00B84A14"/>
    <w:p w14:paraId="23614135" w14:textId="77777777" w:rsidR="009C70FF" w:rsidRDefault="009C70FF" w:rsidP="00B84A14"/>
    <w:p w14:paraId="08419795" w14:textId="77777777" w:rsidR="009C70FF" w:rsidRDefault="009C70FF" w:rsidP="00B84A14"/>
    <w:p w14:paraId="407A4369" w14:textId="77777777" w:rsidR="009C70FF" w:rsidRDefault="009C70FF" w:rsidP="00B84A14"/>
    <w:p w14:paraId="705D8346" w14:textId="77777777" w:rsidR="009C70FF" w:rsidRDefault="009C70FF" w:rsidP="00B84A14"/>
    <w:p w14:paraId="43947AE8" w14:textId="77777777" w:rsidR="009C70FF" w:rsidRDefault="009C70FF" w:rsidP="00B84A14"/>
    <w:p w14:paraId="2951802E" w14:textId="77777777" w:rsidR="009C70FF" w:rsidRDefault="009C70FF" w:rsidP="00B84A14"/>
    <w:p w14:paraId="07A84EC8" w14:textId="77777777" w:rsidR="00CE0104" w:rsidRDefault="00CE0104" w:rsidP="00B84A14"/>
    <w:p w14:paraId="3636A16B" w14:textId="77777777" w:rsidR="00CE0104" w:rsidRDefault="00CE0104" w:rsidP="00B84A14"/>
    <w:p w14:paraId="3F2AE65F" w14:textId="77777777" w:rsidR="00CE0104" w:rsidRDefault="00CE0104" w:rsidP="00B84A14"/>
    <w:p w14:paraId="58C8B5D2" w14:textId="77777777" w:rsidR="00CE0104" w:rsidRDefault="00CE0104" w:rsidP="00B84A14"/>
    <w:p w14:paraId="7FD604E5" w14:textId="77777777" w:rsidR="00CE0104" w:rsidRDefault="00CE0104" w:rsidP="00B84A14"/>
    <w:p w14:paraId="5B21DE87" w14:textId="77777777" w:rsidR="00CE0104" w:rsidRDefault="00CE0104" w:rsidP="00B84A14"/>
    <w:p w14:paraId="0FB6A121" w14:textId="77777777" w:rsidR="00CE0104" w:rsidRDefault="00CE0104" w:rsidP="00B84A14"/>
    <w:p w14:paraId="5BDF0307" w14:textId="77777777" w:rsidR="00CE0104" w:rsidRDefault="00CE0104" w:rsidP="00B84A14"/>
    <w:p w14:paraId="049F1EA3" w14:textId="77777777" w:rsidR="00CE0104" w:rsidRDefault="00CE0104" w:rsidP="00B84A14"/>
    <w:p w14:paraId="784FF0C3" w14:textId="77777777" w:rsidR="00CE0104" w:rsidRDefault="00CE0104" w:rsidP="00B84A14"/>
    <w:p w14:paraId="45310663" w14:textId="77777777" w:rsidR="00CE0104" w:rsidRDefault="00CE0104" w:rsidP="00B84A14"/>
    <w:p w14:paraId="0DBE696B" w14:textId="77777777" w:rsidR="00CE0104" w:rsidRDefault="00CE0104" w:rsidP="00B84A14"/>
    <w:p w14:paraId="0227B4FF" w14:textId="77777777" w:rsidR="001424AF" w:rsidRDefault="001424AF" w:rsidP="00B84A14"/>
    <w:p w14:paraId="1380E17A" w14:textId="3EF50D39" w:rsidR="009C70FF" w:rsidRPr="009C70FF" w:rsidRDefault="009C70FF" w:rsidP="00395BD6">
      <w:pPr>
        <w:pStyle w:val="OZNZACZNIKAwskazanienrzacznika"/>
      </w:pPr>
      <w:r>
        <w:t xml:space="preserve">                                                                                                 </w:t>
      </w:r>
      <w:r w:rsidRPr="009C70FF">
        <w:t xml:space="preserve">Załącznik nr </w:t>
      </w:r>
      <w:r>
        <w:t xml:space="preserve">2 </w:t>
      </w:r>
    </w:p>
    <w:p w14:paraId="241CF0C1" w14:textId="3895C3A3" w:rsidR="00D84659" w:rsidRDefault="009C70FF" w:rsidP="00D84659">
      <w:pPr>
        <w:rPr>
          <w:rStyle w:val="Ppogrubienie"/>
        </w:rPr>
      </w:pPr>
      <w:r>
        <w:tab/>
      </w:r>
      <w:r>
        <w:tab/>
      </w:r>
    </w:p>
    <w:p w14:paraId="77A5C143" w14:textId="2707C4DB" w:rsidR="0094232A" w:rsidRDefault="0094232A" w:rsidP="00B65794">
      <w:pPr>
        <w:pStyle w:val="TYTTABELItytutabeli"/>
        <w:rPr>
          <w:rStyle w:val="Ppogrubienie"/>
        </w:rPr>
      </w:pPr>
      <w:r>
        <w:rPr>
          <w:rStyle w:val="Ppogrubienie"/>
        </w:rPr>
        <w:t>Współczynniki przeliczeniowe sztuk zwierząt na współczynniki przeliczeniowe obsady (WPO)</w:t>
      </w:r>
    </w:p>
    <w:p w14:paraId="0D4B1C35" w14:textId="62F40F15" w:rsidR="0094232A" w:rsidRDefault="0094232A" w:rsidP="00D84659">
      <w:pPr>
        <w:rPr>
          <w:rStyle w:val="Ppogrubienie"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3702"/>
        <w:gridCol w:w="3402"/>
      </w:tblGrid>
      <w:tr w:rsidR="009C70FF" w:rsidRPr="009C70FF" w14:paraId="1FD7A863" w14:textId="77777777" w:rsidTr="00B65794">
        <w:trPr>
          <w:trHeight w:val="88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692A5" w14:textId="77777777" w:rsidR="009C70FF" w:rsidRPr="009C70FF" w:rsidRDefault="009C70FF" w:rsidP="00B65794">
            <w:pPr>
              <w:pStyle w:val="TEKSTwTABELIWYRODKOWANYtekstwyrodkowanywpoziomie"/>
            </w:pPr>
            <w:r w:rsidRPr="009C70FF">
              <w:t>Kategoria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495EA" w14:textId="77777777" w:rsidR="009C70FF" w:rsidRPr="009C70FF" w:rsidRDefault="009C70FF" w:rsidP="00B65794">
            <w:pPr>
              <w:pStyle w:val="TEKSTwTABELIWYRODKOWANYtekstwyrodkowanywpoziomie"/>
            </w:pPr>
            <w:r w:rsidRPr="009C70FF">
              <w:t>Podkategoria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00E7" w14:textId="77777777" w:rsidR="009C70FF" w:rsidRPr="00722D64" w:rsidRDefault="009C70FF" w:rsidP="00B65794">
            <w:pPr>
              <w:pStyle w:val="TEKSTwTABELIWYRODKOWANYtekstwyrodkowanywpoziomie"/>
            </w:pPr>
            <w:r w:rsidRPr="00722D64">
              <w:t>Współczynnik przeliczenia sztuk zwierząt na WPO</w:t>
            </w:r>
          </w:p>
        </w:tc>
      </w:tr>
      <w:tr w:rsidR="009C70FF" w:rsidRPr="009C70FF" w14:paraId="276E2090" w14:textId="77777777" w:rsidTr="00B65794">
        <w:trPr>
          <w:trHeight w:val="285"/>
        </w:trPr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F63AB38" w14:textId="77777777" w:rsidR="009C70FF" w:rsidRPr="009C70FF" w:rsidRDefault="009C70FF" w:rsidP="009C70FF">
            <w:r w:rsidRPr="009C70FF">
              <w:t>Świnie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C413D" w14:textId="77777777" w:rsidR="009C70FF" w:rsidRPr="009C70FF" w:rsidRDefault="009C70FF" w:rsidP="009C70FF">
            <w:r w:rsidRPr="009C70FF">
              <w:t>Lochy hodowlane ≥ 50 kg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F75FB" w14:textId="77777777" w:rsidR="009C70FF" w:rsidRPr="009C70FF" w:rsidRDefault="009C70FF" w:rsidP="009C70FF">
            <w:r w:rsidRPr="009C70FF">
              <w:t>0,5</w:t>
            </w:r>
          </w:p>
        </w:tc>
      </w:tr>
      <w:tr w:rsidR="009C70FF" w:rsidRPr="009C70FF" w14:paraId="258D583A" w14:textId="77777777" w:rsidTr="00B65794">
        <w:trPr>
          <w:trHeight w:val="285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3E9E3" w14:textId="77777777" w:rsidR="009C70FF" w:rsidRPr="009C70FF" w:rsidRDefault="009C70FF" w:rsidP="009C70FF"/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07E6F" w14:textId="77777777" w:rsidR="009C70FF" w:rsidRPr="009C70FF" w:rsidRDefault="009C70FF" w:rsidP="009C70FF">
            <w:r w:rsidRPr="009C70FF">
              <w:t>Warchlaki ≤ 20 kg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F416A" w14:textId="77777777" w:rsidR="009C70FF" w:rsidRPr="009C70FF" w:rsidRDefault="009C70FF" w:rsidP="009C70FF">
            <w:r w:rsidRPr="009C70FF">
              <w:t>0,027</w:t>
            </w:r>
          </w:p>
        </w:tc>
      </w:tr>
      <w:tr w:rsidR="009C70FF" w:rsidRPr="009C70FF" w14:paraId="73E070D2" w14:textId="77777777" w:rsidTr="00B65794">
        <w:trPr>
          <w:trHeight w:val="285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E5EF2" w14:textId="77777777" w:rsidR="009C70FF" w:rsidRPr="009C70FF" w:rsidRDefault="009C70FF" w:rsidP="009C70FF"/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D3465" w14:textId="77777777" w:rsidR="009C70FF" w:rsidRPr="009C70FF" w:rsidRDefault="009C70FF" w:rsidP="009C70FF">
            <w:r w:rsidRPr="009C70FF">
              <w:t>Pozostałe świnie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FCF4D" w14:textId="77777777" w:rsidR="009C70FF" w:rsidRPr="009C70FF" w:rsidRDefault="009C70FF" w:rsidP="009C70FF">
            <w:r w:rsidRPr="009C70FF">
              <w:t>0,3</w:t>
            </w:r>
          </w:p>
        </w:tc>
      </w:tr>
      <w:tr w:rsidR="009C70FF" w:rsidRPr="009C70FF" w14:paraId="27190052" w14:textId="77777777" w:rsidTr="00B65794">
        <w:trPr>
          <w:trHeight w:val="285"/>
        </w:trPr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4551CCE" w14:textId="77777777" w:rsidR="009C70FF" w:rsidRPr="009C70FF" w:rsidRDefault="009C70FF" w:rsidP="009C70FF">
            <w:r w:rsidRPr="009C70FF">
              <w:t>Drób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ECFB2" w14:textId="77777777" w:rsidR="009C70FF" w:rsidRPr="009C70FF" w:rsidRDefault="009C70FF" w:rsidP="009C70FF">
            <w:r w:rsidRPr="009C70FF">
              <w:t>Brojlery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B6BC" w14:textId="77777777" w:rsidR="009C70FF" w:rsidRPr="009C70FF" w:rsidRDefault="009C70FF" w:rsidP="009C70FF">
            <w:r w:rsidRPr="009C70FF">
              <w:t>0,007</w:t>
            </w:r>
          </w:p>
        </w:tc>
      </w:tr>
      <w:tr w:rsidR="009C70FF" w:rsidRPr="009C70FF" w14:paraId="26F2C1E5" w14:textId="77777777" w:rsidTr="00B65794">
        <w:trPr>
          <w:trHeight w:val="285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E2235" w14:textId="77777777" w:rsidR="009C70FF" w:rsidRPr="009C70FF" w:rsidRDefault="009C70FF" w:rsidP="009C70FF"/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30B9E" w14:textId="77777777" w:rsidR="009C70FF" w:rsidRPr="009C70FF" w:rsidRDefault="009C70FF" w:rsidP="009C70FF">
            <w:r w:rsidRPr="009C70FF">
              <w:t>Kury nioski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1875E" w14:textId="77777777" w:rsidR="009C70FF" w:rsidRPr="009C70FF" w:rsidRDefault="009C70FF" w:rsidP="009C70FF">
            <w:r w:rsidRPr="009C70FF">
              <w:t>0,014</w:t>
            </w:r>
          </w:p>
        </w:tc>
      </w:tr>
      <w:tr w:rsidR="009C70FF" w:rsidRPr="009C70FF" w14:paraId="497EEF82" w14:textId="77777777" w:rsidTr="00B65794">
        <w:trPr>
          <w:trHeight w:val="285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53021" w14:textId="77777777" w:rsidR="009C70FF" w:rsidRPr="009C70FF" w:rsidRDefault="009C70FF" w:rsidP="009C70FF"/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44CD6" w14:textId="77777777" w:rsidR="009C70FF" w:rsidRPr="009C70FF" w:rsidRDefault="009C70FF" w:rsidP="009C70FF">
            <w:r w:rsidRPr="009C70FF">
              <w:t>Indyki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48854" w14:textId="77777777" w:rsidR="009C70FF" w:rsidRPr="009C70FF" w:rsidRDefault="009C70FF" w:rsidP="009C70FF">
            <w:r w:rsidRPr="009C70FF">
              <w:t>0,03</w:t>
            </w:r>
          </w:p>
        </w:tc>
      </w:tr>
      <w:tr w:rsidR="009C70FF" w:rsidRPr="009C70FF" w14:paraId="6AF38315" w14:textId="77777777" w:rsidTr="00B65794">
        <w:trPr>
          <w:trHeight w:val="285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724C5" w14:textId="77777777" w:rsidR="009C70FF" w:rsidRPr="009C70FF" w:rsidRDefault="009C70FF" w:rsidP="009C70FF"/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A6B89" w14:textId="77777777" w:rsidR="009C70FF" w:rsidRPr="009C70FF" w:rsidRDefault="009C70FF" w:rsidP="009C70FF">
            <w:r w:rsidRPr="009C70FF">
              <w:t>Kaczki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C5C08" w14:textId="77777777" w:rsidR="009C70FF" w:rsidRPr="009C70FF" w:rsidRDefault="009C70FF" w:rsidP="009C70FF">
            <w:r w:rsidRPr="009C70FF">
              <w:t>0,01</w:t>
            </w:r>
          </w:p>
        </w:tc>
      </w:tr>
      <w:tr w:rsidR="009C70FF" w:rsidRPr="009C70FF" w14:paraId="4A558EA5" w14:textId="77777777" w:rsidTr="00B65794">
        <w:trPr>
          <w:trHeight w:val="285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8B74A" w14:textId="77777777" w:rsidR="009C70FF" w:rsidRPr="009C70FF" w:rsidRDefault="009C70FF" w:rsidP="009C70FF"/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C52B2" w14:textId="77777777" w:rsidR="009C70FF" w:rsidRPr="009C70FF" w:rsidRDefault="009C70FF" w:rsidP="009C70FF">
            <w:r w:rsidRPr="009C70FF">
              <w:t>Gęsi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D5513" w14:textId="77777777" w:rsidR="009C70FF" w:rsidRPr="009C70FF" w:rsidRDefault="009C70FF" w:rsidP="009C70FF">
            <w:r w:rsidRPr="009C70FF">
              <w:t>0,02</w:t>
            </w:r>
          </w:p>
        </w:tc>
      </w:tr>
      <w:tr w:rsidR="009C70FF" w:rsidRPr="009C70FF" w14:paraId="22AA29BA" w14:textId="77777777" w:rsidTr="00B65794">
        <w:trPr>
          <w:trHeight w:val="285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E3A7D" w14:textId="77777777" w:rsidR="009C70FF" w:rsidRPr="009C70FF" w:rsidRDefault="009C70FF" w:rsidP="009C70FF"/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6B27E" w14:textId="77777777" w:rsidR="009C70FF" w:rsidRPr="009C70FF" w:rsidRDefault="009C70FF" w:rsidP="009C70FF">
            <w:r w:rsidRPr="009C70FF">
              <w:t>Strusie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A4085" w14:textId="77777777" w:rsidR="009C70FF" w:rsidRPr="009C70FF" w:rsidRDefault="009C70FF" w:rsidP="009C70FF">
            <w:r w:rsidRPr="009C70FF">
              <w:t>0,35</w:t>
            </w:r>
          </w:p>
        </w:tc>
      </w:tr>
      <w:tr w:rsidR="009C70FF" w:rsidRPr="009C70FF" w14:paraId="4C3804AF" w14:textId="77777777" w:rsidTr="00B65794">
        <w:trPr>
          <w:trHeight w:val="285"/>
        </w:trPr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F7E56" w14:textId="77777777" w:rsidR="009C70FF" w:rsidRPr="009C70FF" w:rsidRDefault="009C70FF" w:rsidP="009C70FF"/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EAB2A" w14:textId="77777777" w:rsidR="009C70FF" w:rsidRPr="009C70FF" w:rsidRDefault="009C70FF" w:rsidP="009C70FF">
            <w:r w:rsidRPr="009C70FF">
              <w:t>Inny drób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96943" w14:textId="77777777" w:rsidR="009C70FF" w:rsidRPr="009C70FF" w:rsidRDefault="009C70FF" w:rsidP="009C70FF">
            <w:r w:rsidRPr="009C70FF">
              <w:t>0,001</w:t>
            </w:r>
          </w:p>
        </w:tc>
      </w:tr>
    </w:tbl>
    <w:p w14:paraId="258731DD" w14:textId="77777777" w:rsidR="009C70FF" w:rsidRDefault="009C70FF" w:rsidP="00D84659">
      <w:pPr>
        <w:rPr>
          <w:rStyle w:val="Ppogrubienie"/>
        </w:rPr>
      </w:pPr>
    </w:p>
    <w:p w14:paraId="208EF3F9" w14:textId="77777777" w:rsidR="009C70FF" w:rsidRDefault="009C70FF" w:rsidP="00D84659">
      <w:pPr>
        <w:rPr>
          <w:rStyle w:val="Ppogrubienie"/>
        </w:rPr>
      </w:pPr>
    </w:p>
    <w:p w14:paraId="62497B62" w14:textId="7CA7D9BD" w:rsidR="009C70FF" w:rsidRPr="009C70FF" w:rsidRDefault="009C70FF" w:rsidP="00B65794">
      <w:pPr>
        <w:pStyle w:val="P1wTABELIpoziom1numeracjiwtabeli"/>
      </w:pPr>
      <w:r w:rsidRPr="009C70FF">
        <w:t xml:space="preserve">(*) Współczynnik ważenia dla kur niosek obliczono, dzieląc wartość progową dla </w:t>
      </w:r>
      <w:r w:rsidR="00722D64">
        <w:t xml:space="preserve">podkategorii </w:t>
      </w:r>
      <w:r w:rsidRPr="009C70FF">
        <w:t xml:space="preserve">innego drobiu (280 WPO) przez wartość progową </w:t>
      </w:r>
      <w:r w:rsidR="00722D64">
        <w:t xml:space="preserve">podkategorii </w:t>
      </w:r>
      <w:r w:rsidRPr="009C70FF">
        <w:t>kur niosek (300 WPO). Wynosi on 280/300 = 0,93 (w zaokrągleniu).</w:t>
      </w:r>
    </w:p>
    <w:p w14:paraId="68B22A84" w14:textId="77777777" w:rsidR="009C70FF" w:rsidRDefault="009C70FF" w:rsidP="00D84659">
      <w:pPr>
        <w:rPr>
          <w:rStyle w:val="Ppogrubienie"/>
        </w:rPr>
      </w:pPr>
    </w:p>
    <w:p w14:paraId="754435EE" w14:textId="77777777" w:rsidR="00A37EFA" w:rsidRDefault="00A37EFA" w:rsidP="00D84659">
      <w:pPr>
        <w:rPr>
          <w:rStyle w:val="Ppogrubienie"/>
        </w:rPr>
      </w:pPr>
    </w:p>
    <w:p w14:paraId="2CE1548A" w14:textId="77777777" w:rsidR="00A37EFA" w:rsidRDefault="00A37EFA" w:rsidP="00D84659">
      <w:pPr>
        <w:rPr>
          <w:rStyle w:val="Ppogrubienie"/>
        </w:rPr>
      </w:pPr>
    </w:p>
    <w:p w14:paraId="322E5A17" w14:textId="77777777" w:rsidR="00A37EFA" w:rsidRDefault="00A37EFA" w:rsidP="00D84659">
      <w:pPr>
        <w:rPr>
          <w:rStyle w:val="Ppogrubienie"/>
        </w:rPr>
      </w:pPr>
    </w:p>
    <w:p w14:paraId="1E838855" w14:textId="77777777" w:rsidR="00A37EFA" w:rsidRDefault="00A37EFA" w:rsidP="00D84659">
      <w:pPr>
        <w:rPr>
          <w:rStyle w:val="Ppogrubienie"/>
        </w:rPr>
      </w:pPr>
    </w:p>
    <w:p w14:paraId="44A87595" w14:textId="77777777" w:rsidR="00A37EFA" w:rsidRDefault="00A37EFA" w:rsidP="00D84659">
      <w:pPr>
        <w:rPr>
          <w:rStyle w:val="Ppogrubienie"/>
        </w:rPr>
      </w:pPr>
    </w:p>
    <w:p w14:paraId="3FEAA1AC" w14:textId="77777777" w:rsidR="00A37EFA" w:rsidRDefault="00A37EFA" w:rsidP="00D84659">
      <w:pPr>
        <w:rPr>
          <w:rStyle w:val="Ppogrubienie"/>
        </w:rPr>
      </w:pPr>
    </w:p>
    <w:p w14:paraId="3C1EDD81" w14:textId="77777777" w:rsidR="00A37EFA" w:rsidRDefault="00A37EFA" w:rsidP="00D84659">
      <w:pPr>
        <w:rPr>
          <w:rStyle w:val="Ppogrubienie"/>
        </w:rPr>
      </w:pPr>
    </w:p>
    <w:p w14:paraId="1CA0EB1C" w14:textId="77777777" w:rsidR="00A37EFA" w:rsidRDefault="00A37EFA" w:rsidP="00D84659">
      <w:pPr>
        <w:rPr>
          <w:rStyle w:val="Ppogrubienie"/>
        </w:rPr>
      </w:pPr>
    </w:p>
    <w:p w14:paraId="4F42A542" w14:textId="77777777" w:rsidR="00A37EFA" w:rsidRPr="00A37EFA" w:rsidRDefault="00A37EFA" w:rsidP="00A37EFA">
      <w:pPr>
        <w:pStyle w:val="TEKSTwTABELIWYRODKOWANYtekstwyrodkowanywpoziomie"/>
      </w:pPr>
      <w:r w:rsidRPr="00A37EFA">
        <w:lastRenderedPageBreak/>
        <w:t>UZASADNIENIE</w:t>
      </w:r>
    </w:p>
    <w:p w14:paraId="4ACAC54B" w14:textId="77777777" w:rsidR="00A37EFA" w:rsidRPr="00A37EFA" w:rsidRDefault="00A37EFA" w:rsidP="00A37EFA">
      <w:pPr>
        <w:pStyle w:val="TEKSTwTABELIWYRODKOWANYtekstwyrodkowanywpoziomie"/>
      </w:pPr>
    </w:p>
    <w:p w14:paraId="5FFFB2CC" w14:textId="77777777" w:rsidR="00A37EFA" w:rsidRPr="00A37EFA" w:rsidRDefault="00A37EFA" w:rsidP="00A37EFA">
      <w:pPr>
        <w:pStyle w:val="Akapitzlist"/>
      </w:pPr>
      <w:r w:rsidRPr="00A37EFA">
        <w:t>Cel wprowadzanych zmian</w:t>
      </w:r>
    </w:p>
    <w:p w14:paraId="6F7B332B" w14:textId="77777777" w:rsidR="00A37EFA" w:rsidRPr="00A37EFA" w:rsidRDefault="00A37EFA" w:rsidP="00A37EFA">
      <w:r w:rsidRPr="00A37EFA">
        <w:t xml:space="preserve">Celem wydania niniejszego projektu jest wykonanie upoważnienia określonego w art. 201 ust. 2 ustawy z dnia 27 kwietnia 2001 r. - Prawo ochrony środowiska (Dz.U. 2025 r. poz. 647 ze zm.), które zobowiązuje ministra właściwego do spraw klimatu do określenia, w drodze rozporządzenia, rodzajów instalacji, których funkcjonowanie ze względu na rodzaj i skalę prowadzonej w nich działalności, może powodować znaczne zanieczyszczenie poszczególnych elementów przyrodniczych albo środowiska jako całości. Prowadzenie takich instalacji zgodnie z ustawą objęte jest obowiązkiem uzyskania pozwolenia zintegrowanego. </w:t>
      </w:r>
    </w:p>
    <w:p w14:paraId="6466EA83" w14:textId="77777777" w:rsidR="00A37EFA" w:rsidRPr="00A37EFA" w:rsidRDefault="00A37EFA" w:rsidP="00A37EFA">
      <w:r w:rsidRPr="00A37EFA">
        <w:t xml:space="preserve">Konieczność wydania nowego rozporządzenia wynika z dostosowania polskiego prawa do nowych wymagań dyrektywy </w:t>
      </w:r>
      <w:bookmarkStart w:id="4" w:name="_Hlk215483839"/>
      <w:r w:rsidRPr="00A37EFA">
        <w:t xml:space="preserve">2024/1785 </w:t>
      </w:r>
      <w:bookmarkEnd w:id="4"/>
      <w:r w:rsidRPr="00A37EFA">
        <w:t>z dnia 24 kwietnia 2024 r. dotycząca zmiany dyrektywy 2010/75/UE w sprawie emisji przemysłowych i dyrektywy Rady 1999/31/WE w sprawie składowania odpadów (Dz. U. L 1785 z 15.07.2024 s.1), kraje członkowskie Unii Europejskiej (UE) są zobowiązane do dokonania transpozycji tej dyrektywy do dnia 1 lipca 2026 r. Katalog instalacji objętych obecnie obowiązkiem uzyskania pozwolenia zintegrowanego został rozszerzony przede wszystkim o następujące rodzaje działalności:</w:t>
      </w:r>
    </w:p>
    <w:p w14:paraId="5B3F8106" w14:textId="77777777" w:rsidR="00A37EFA" w:rsidRPr="00A37EFA" w:rsidRDefault="00A37EFA" w:rsidP="00A37EFA">
      <w:r w:rsidRPr="00A37EFA">
        <w:t xml:space="preserve">- Wytwarzanie baterii, inne niż wyłącznie montaż, o zdolności produkcyjnej co najmniej 15 000 ton ogniw baterii (katoda, anoda, elektrolit, separator, osłona) rocznie. </w:t>
      </w:r>
    </w:p>
    <w:p w14:paraId="2E45B06D" w14:textId="7E96CF63" w:rsidR="00A37EFA" w:rsidRPr="00A37EFA" w:rsidRDefault="00A37EFA" w:rsidP="00A37EFA">
      <w:r w:rsidRPr="00A37EFA">
        <w:t xml:space="preserve">- Wydobycie, w tym przetwarzanie na miejscu, takie jak rozdrabnianie, kontrola wielkości, wzbogacanie </w:t>
      </w:r>
      <w:r>
        <w:t xml:space="preserve"> </w:t>
      </w:r>
      <w:r w:rsidRPr="00A37EFA">
        <w:t xml:space="preserve">i uszlachetnianie, następujących rud na skalę przemysłową: boksyt, chrom, kobalt, miedź, złoto, żelazo, ołów, lit, mangan, nikiel, pallad, platyna, cyna, wolfram i cynk. </w:t>
      </w:r>
    </w:p>
    <w:p w14:paraId="428E18FE" w14:textId="77777777" w:rsidR="00A37EFA" w:rsidRPr="00A37EFA" w:rsidRDefault="00A37EFA" w:rsidP="00A37EFA">
      <w:r w:rsidRPr="00A37EFA">
        <w:t xml:space="preserve">Zasadne jest wprowadzenie drobnych zmian w zakresie doprecyzowania zapisów, które </w:t>
      </w:r>
      <w:r w:rsidRPr="00A37EFA">
        <w:br/>
        <w:t>w chwili obecnej stanowią trudności interpretacyjne lub stanowią oczywistą omyłkę zaistniałą podczas redagowania treści przepisów w 2014 r.</w:t>
      </w:r>
    </w:p>
    <w:p w14:paraId="1B230906" w14:textId="77777777" w:rsidR="00947CAA" w:rsidRPr="00947CAA" w:rsidRDefault="00947CAA" w:rsidP="00947CAA">
      <w:r w:rsidRPr="00947CAA">
        <w:t xml:space="preserve">Ponadto w rozporządzeniu uwzględniono zmiany w obrębie branż wymagających już uzyskania pozwolenia zintegrowanego rozszerzając je o dodatkowe procesy </w:t>
      </w:r>
    </w:p>
    <w:p w14:paraId="6061A87B" w14:textId="77777777" w:rsidR="00A37EFA" w:rsidRPr="00A37EFA" w:rsidRDefault="00A37EFA" w:rsidP="00A37EFA"/>
    <w:p w14:paraId="1D895937" w14:textId="7A9EF5C2" w:rsidR="00A37EFA" w:rsidRPr="00A37EFA" w:rsidRDefault="00A37EFA" w:rsidP="00A37EFA">
      <w:r w:rsidRPr="00A37EFA">
        <w:t xml:space="preserve">W projekcie zostaną uwzględnione również kategorie, które będą uwzględniały rodzaj i skalę działalności prowadzonej w instalacjach wskazanych w rozporządzeniu. Podział ten podyktowany jest zmianą w ustawie Prawo ochrony środowiska (UC99) w art. 1 pkt 25. Przepis precyzuje, że organem właściwym do wydania pozwolenia zintegrowanego dla instalacji z kategorii I jest marszałek województwa, a dla instalacji z kategorii II – starosta. </w:t>
      </w:r>
    </w:p>
    <w:p w14:paraId="3930675A" w14:textId="234F5D08" w:rsidR="00A37EFA" w:rsidRPr="00A37EFA" w:rsidRDefault="00A37EFA" w:rsidP="00A37EFA">
      <w:r w:rsidRPr="00A37EFA">
        <w:lastRenderedPageBreak/>
        <w:t xml:space="preserve">Podział ten ma na celu oddzielenie instalacji, dla których wymagane jest uzyskanie pozwolenia zintegrowanego od rozporządzenia Rady Ministrów z dnia 10 września 2019 r. w sprawie przedsięwzięć mogących znacząco oddziaływać na środowisko (Dz. U. z 2019 r. poz. 1839). Rozporządzenie Rady Ministrów dzieli przedsięwzięcia na zawsze znacząco oddziaływać na środowisko i </w:t>
      </w:r>
      <w:bookmarkStart w:id="5" w:name="mip50675200"/>
      <w:bookmarkEnd w:id="5"/>
      <w:r w:rsidRPr="00A37EFA">
        <w:t xml:space="preserve">rodzaje przedsięwzięć mogących potencjalnie znacząco oddziaływać na środowisko. Zgodnie z tym podziałem dla instalacji, które znajdują się w grupie przedsięwzięć mogących zawsze znacząco oddziaływać na środowisko organem właściwym do wydania pozwolenia jest marszałek województwa. Natomiast dla instalacji, które znajdują się w grupie przedsięwzięć mogących potencjalnie znacząco oddziaływać na środowisko organem właściwym jest starosta. Podział na kategorie, które określają organ właściwy do wydania pozwolenia zintegrowanego został dokonany zgodnie z zachowaniem dotychczasowych proporcji </w:t>
      </w:r>
      <w:r>
        <w:t xml:space="preserve"> </w:t>
      </w:r>
      <w:r w:rsidRPr="00A37EFA">
        <w:t>w liczbie instalacji, dla których właściwym organem jest marszałek województwa i starosta.</w:t>
      </w:r>
    </w:p>
    <w:p w14:paraId="55CAD5BD" w14:textId="64C74CCF" w:rsidR="00A37EFA" w:rsidRPr="00A37EFA" w:rsidRDefault="00A37EFA" w:rsidP="00A37EFA">
      <w:r w:rsidRPr="00A37EFA">
        <w:t xml:space="preserve">Nowe przepisy rozszerzają zakres dyrektywy oraz wprowadzają odrębny reżim dla intensywnego chowu świń i drobiu, ujęty w Rozdziale </w:t>
      </w:r>
      <w:proofErr w:type="spellStart"/>
      <w:r w:rsidRPr="00A37EFA">
        <w:t>VIa</w:t>
      </w:r>
      <w:proofErr w:type="spellEnd"/>
      <w:r w:rsidRPr="00A37EFA">
        <w:t xml:space="preserve"> IED i Załączniku </w:t>
      </w:r>
      <w:proofErr w:type="spellStart"/>
      <w:r w:rsidRPr="00A37EFA">
        <w:t>Ia</w:t>
      </w:r>
      <w:proofErr w:type="spellEnd"/>
      <w:r w:rsidRPr="00A37EFA">
        <w:t xml:space="preserve"> (działalności, o których mowa w art. 70a). Zmiana rozporządzenia z 2014 r. jest konieczna, aby prawidłowo i terminowo dostosować polski wykaz instalacji wymagających pozwolenia zintegrowanego do nowej struktury i zakresu IED 2.0. Dodatkowo konieczna jest transpozycja art. 70b dyrektywy, który ma na celu zapobieganie sytuacjom unikania obowiązku posiadania pozwolenia zintegrowanego poprzez dzielenie ferm drobiu i świń na podstawie umów dzierżawy.</w:t>
      </w:r>
      <w:r>
        <w:t xml:space="preserve"> </w:t>
      </w:r>
      <w:r w:rsidRPr="00A37EFA">
        <w:t>Ponadto, projektowane rozporządzenie zawiera zmiany wynikające z</w:t>
      </w:r>
      <w:r>
        <w:t xml:space="preserve"> </w:t>
      </w:r>
      <w:r w:rsidRPr="00A37EFA">
        <w:t>wystosowanych przez Komisję Europejską zarzutów formalnych (naruszenie nr 2023/2173) dotyczących uchybienia zobowiązaniom wynikającym z przepisów dyrektywy 2010/75/UE oraz doprecyzowuje zapisy, które w chwili obecnej stanowią trudności interpretacyjne lub stanowią oczywistą omyłkę zaistniałą podczas redagowania treści przepisów w 2014 r.</w:t>
      </w:r>
    </w:p>
    <w:p w14:paraId="61768CE6" w14:textId="77777777" w:rsidR="00A37EFA" w:rsidRPr="00A37EFA" w:rsidRDefault="00A37EFA" w:rsidP="00A37EFA">
      <w:pPr>
        <w:pStyle w:val="Akapitzlist"/>
      </w:pPr>
      <w:r w:rsidRPr="00A37EFA">
        <w:t>Szczegółowy opis wprowadzanych regulacji</w:t>
      </w:r>
    </w:p>
    <w:p w14:paraId="1C083A35" w14:textId="77777777" w:rsidR="00A37EFA" w:rsidRPr="00A37EFA" w:rsidRDefault="00A37EFA" w:rsidP="00A37EFA">
      <w:r w:rsidRPr="00A37EFA">
        <w:t>Podstawowa zmiana wynikająca wprost z dyrektywy 2024/1785 polega na wprowadzeniu na listę następujących zmian w rodzajach instalacji:</w:t>
      </w:r>
    </w:p>
    <w:p w14:paraId="02ADD741" w14:textId="77777777" w:rsidR="00A37EFA" w:rsidRPr="00A37EFA" w:rsidRDefault="00A37EFA" w:rsidP="00A37EFA">
      <w:pPr>
        <w:pStyle w:val="PKTpunkt"/>
      </w:pPr>
      <w:r w:rsidRPr="00A37EFA">
        <w:t xml:space="preserve">Ust. 1 pkt 4) do zgazowania, upłynniania </w:t>
      </w:r>
      <w:r w:rsidRPr="00A37EFA">
        <w:rPr>
          <w:rStyle w:val="Ppogrubienie"/>
        </w:rPr>
        <w:t>lub pirolizy</w:t>
      </w:r>
      <w:r w:rsidRPr="00A37EFA">
        <w:t>:</w:t>
      </w:r>
    </w:p>
    <w:p w14:paraId="62277D7A" w14:textId="77777777" w:rsidR="00A37EFA" w:rsidRPr="00A37EFA" w:rsidRDefault="00A37EFA" w:rsidP="00A37EFA">
      <w:pPr>
        <w:pStyle w:val="LITlitera"/>
      </w:pPr>
      <w:r w:rsidRPr="00A37EFA">
        <w:t>a) węgla,</w:t>
      </w:r>
    </w:p>
    <w:p w14:paraId="20059940" w14:textId="77777777" w:rsidR="00A37EFA" w:rsidRPr="00A37EFA" w:rsidRDefault="00A37EFA" w:rsidP="00A37EFA">
      <w:pPr>
        <w:pStyle w:val="LITlitera"/>
      </w:pPr>
      <w:r w:rsidRPr="00A37EFA">
        <w:t>b) paliw innych niż wymienione w lit. a, o całkowitej nominalnej mocy nie mniejszej niż 20 MW.</w:t>
      </w:r>
    </w:p>
    <w:p w14:paraId="11D4F442" w14:textId="77777777" w:rsidR="00A37EFA" w:rsidRPr="00A37EFA" w:rsidRDefault="00A37EFA" w:rsidP="00A37EFA">
      <w:pPr>
        <w:pStyle w:val="PKTpunkt"/>
      </w:pPr>
      <w:r w:rsidRPr="00A37EFA">
        <w:t xml:space="preserve">Ust. 2 pkt </w:t>
      </w:r>
      <w:r w:rsidRPr="00A37EFA">
        <w:rPr>
          <w:rStyle w:val="Ppogrubienie"/>
        </w:rPr>
        <w:t xml:space="preserve">3) </w:t>
      </w:r>
      <w:r w:rsidRPr="00A37EFA">
        <w:t>do obróbki stali lub stopów żelaza:</w:t>
      </w:r>
    </w:p>
    <w:p w14:paraId="31AB50CF" w14:textId="77777777" w:rsidR="00A37EFA" w:rsidRPr="00A37EFA" w:rsidRDefault="00A37EFA" w:rsidP="00A37EFA">
      <w:pPr>
        <w:pStyle w:val="LITlitera"/>
      </w:pPr>
      <w:r w:rsidRPr="00A37EFA">
        <w:rPr>
          <w:rStyle w:val="Ppogrubienie"/>
        </w:rPr>
        <w:lastRenderedPageBreak/>
        <w:t xml:space="preserve">aa) przez walcowanie na zimno o zdolności produkcyjnej ponad 10 ton stali na </w:t>
      </w:r>
      <w:r w:rsidRPr="00A37EFA">
        <w:rPr>
          <w:rStyle w:val="Ppogrubienie"/>
        </w:rPr>
        <w:br/>
        <w:t>godzinę;</w:t>
      </w:r>
    </w:p>
    <w:p w14:paraId="1447DDF5" w14:textId="77777777" w:rsidR="00A37EFA" w:rsidRPr="00A37EFA" w:rsidRDefault="00A37EFA" w:rsidP="00A37EFA">
      <w:pPr>
        <w:pStyle w:val="LITlitera"/>
      </w:pPr>
      <w:r w:rsidRPr="00A37EFA">
        <w:rPr>
          <w:rStyle w:val="Ppogrubienie"/>
        </w:rPr>
        <w:t>ba) kuźnie z prasami kuźniczymi o sile nacisku ponad 30 MN na prasę;</w:t>
      </w:r>
    </w:p>
    <w:p w14:paraId="241AC1CB" w14:textId="77777777" w:rsidR="00A37EFA" w:rsidRPr="00A37EFA" w:rsidRDefault="00A37EFA" w:rsidP="00A37EFA">
      <w:pPr>
        <w:pStyle w:val="PKTpunkt"/>
      </w:pPr>
      <w:r w:rsidRPr="00A37EFA">
        <w:rPr>
          <w:rStyle w:val="Ppogrubienie"/>
        </w:rPr>
        <w:t xml:space="preserve">        8) do wytwarzania baterii, innego niż wyłącznie montaż, o zdolności produkcyjnej co najmniej 15 000 ton ogniw baterii (katoda, anoda, elektrolit, separator, osłona) rocznie.</w:t>
      </w:r>
    </w:p>
    <w:p w14:paraId="31894EA8" w14:textId="77777777" w:rsidR="00A37EFA" w:rsidRPr="00A37EFA" w:rsidRDefault="00A37EFA" w:rsidP="00A37EFA">
      <w:pPr>
        <w:pStyle w:val="USTustnpkodeksu"/>
      </w:pPr>
      <w:r w:rsidRPr="00A37EFA">
        <w:t>Ust. 3. Instalacje w przemyśle mineralnym:</w:t>
      </w:r>
    </w:p>
    <w:p w14:paraId="7B9B4890" w14:textId="77777777" w:rsidR="00A37EFA" w:rsidRPr="00A37EFA" w:rsidRDefault="00A37EFA" w:rsidP="00A37EFA">
      <w:pPr>
        <w:pStyle w:val="USTustnpkodeksu"/>
      </w:pPr>
      <w:r w:rsidRPr="00A37EFA">
        <w:t>5) do produkcji wyrobów ceramicznych za pomocą wypalania o zdolności produkcyjnej3) ponad 75 ton na dobę lub o pojemności pieca przekraczającej 4 m3 i o gęstości przekraczającej 300 kg na m3 na piec;</w:t>
      </w:r>
    </w:p>
    <w:p w14:paraId="0F3BABBC" w14:textId="77777777" w:rsidR="00A37EFA" w:rsidRPr="00A37EFA" w:rsidRDefault="00A37EFA" w:rsidP="00A37EFA">
      <w:pPr>
        <w:pStyle w:val="USTustnpkodeksu"/>
      </w:pPr>
      <w:r w:rsidRPr="00A37EFA">
        <w:t>6) do wydobycia, w tym przetwarzania na miejscu, takiego jak rozdrabnianie, kontrola wielkości, wzbogacanie i uszlachetnianie, następujących rud na skalę przemysłową: boksyt, chrom, kobalt, miedź, złoto, żelazo, ołów, lit, mangan, nikiel, pallad, platyna, cyna, wolfram i cynk</w:t>
      </w:r>
    </w:p>
    <w:p w14:paraId="7F3802AA" w14:textId="77777777" w:rsidR="00A37EFA" w:rsidRPr="00A37EFA" w:rsidRDefault="00A37EFA" w:rsidP="00A37EFA">
      <w:r w:rsidRPr="00A37EFA">
        <w:t>Ust. 4. Instalacje w przemyśle chemicznym do wytwarzania, przy zastosowaniu procesów chemicznych lub biologicznych:</w:t>
      </w:r>
    </w:p>
    <w:p w14:paraId="22CB3CE1" w14:textId="77777777" w:rsidR="00A37EFA" w:rsidRPr="00A37EFA" w:rsidRDefault="00A37EFA" w:rsidP="00A37EFA">
      <w:r w:rsidRPr="00A37EFA">
        <w:t>2) nieorganicznych substancji chemicznych:</w:t>
      </w:r>
    </w:p>
    <w:p w14:paraId="69EB46CC" w14:textId="77777777" w:rsidR="00A37EFA" w:rsidRPr="00A37EFA" w:rsidRDefault="00A37EFA" w:rsidP="00A37EFA">
      <w:r w:rsidRPr="00A37EFA">
        <w:t>a) gazów, takich jak: amoniak, chlor lub chlorowodór, fluor lub fluorowodór, tlenki węgla, związki siarki, tlenki azotu, wodór, z wyjątkiem gdy jest produkowany w drodze elektrolizy wody, dwutlenek siarki, chlorek karbonylu,</w:t>
      </w:r>
    </w:p>
    <w:p w14:paraId="0207EFC2" w14:textId="77777777" w:rsidR="00A37EFA" w:rsidRPr="00A37EFA" w:rsidRDefault="00A37EFA" w:rsidP="00A37EFA">
      <w:pPr>
        <w:pStyle w:val="USTustnpkodeksu"/>
      </w:pPr>
      <w:r w:rsidRPr="00A37EFA">
        <w:t>Ust. 5. Instalacje w gospodarce odpadami:</w:t>
      </w:r>
    </w:p>
    <w:p w14:paraId="05858B52" w14:textId="77777777" w:rsidR="00A37EFA" w:rsidRPr="00A37EFA" w:rsidRDefault="00A37EFA" w:rsidP="00A37EFA">
      <w:pPr>
        <w:pStyle w:val="PKTpunkt"/>
      </w:pPr>
      <w:r w:rsidRPr="00A37EFA">
        <w:t>3) dla odpadów innych niż niebezpieczne z wyłączeniem działań realizowanych podczas oczyszczania ścieków komunalnych:</w:t>
      </w:r>
    </w:p>
    <w:p w14:paraId="6F3E71D9" w14:textId="77777777" w:rsidR="00A37EFA" w:rsidRPr="00A37EFA" w:rsidRDefault="00A37EFA" w:rsidP="00A37EFA">
      <w:pPr>
        <w:pStyle w:val="LITlitera"/>
      </w:pPr>
      <w:r w:rsidRPr="00A37EFA">
        <w:t>a) do unieszkodliwiania o zdolności przetwarzania5) ponad 50 ton na dobę z wykorzystaniem następujących działań:</w:t>
      </w:r>
    </w:p>
    <w:p w14:paraId="49A29758" w14:textId="77777777" w:rsidR="00A37EFA" w:rsidRPr="00A37EFA" w:rsidRDefault="00A37EFA" w:rsidP="00A37EFA">
      <w:pPr>
        <w:pStyle w:val="TIRtiret"/>
      </w:pPr>
      <w:r w:rsidRPr="00A37EFA">
        <w:t xml:space="preserve">- obróbki biologicznej, </w:t>
      </w:r>
      <w:r w:rsidRPr="00A37EFA">
        <w:rPr>
          <w:rStyle w:val="Ppogrubienie"/>
        </w:rPr>
        <w:t xml:space="preserve">w tym fermentacji beztlenowej lub </w:t>
      </w:r>
      <w:proofErr w:type="spellStart"/>
      <w:r w:rsidRPr="00A37EFA">
        <w:rPr>
          <w:rStyle w:val="Ppogrubienie"/>
        </w:rPr>
        <w:t>współfermentacji</w:t>
      </w:r>
      <w:proofErr w:type="spellEnd"/>
      <w:r w:rsidRPr="00A37EFA">
        <w:rPr>
          <w:rStyle w:val="Ppogrubienie"/>
        </w:rPr>
        <w:t>,</w:t>
      </w:r>
    </w:p>
    <w:p w14:paraId="7D94EFE5" w14:textId="77777777" w:rsidR="00A37EFA" w:rsidRPr="00A37EFA" w:rsidRDefault="00A37EFA" w:rsidP="00A37EFA">
      <w:pPr>
        <w:pStyle w:val="LITlitera"/>
      </w:pPr>
      <w:r w:rsidRPr="00A37EFA">
        <w:t>b) do odzysku lub kombinacji odzysku i unieszkodliwiania o zdolności przetwarzania5) ponad 75 ton na dobę, z wykorzystaniem następujących działań:</w:t>
      </w:r>
    </w:p>
    <w:p w14:paraId="55C417BB" w14:textId="77777777" w:rsidR="00A37EFA" w:rsidRPr="00A37EFA" w:rsidRDefault="00A37EFA" w:rsidP="00A37EFA">
      <w:pPr>
        <w:pStyle w:val="TIRtiret"/>
      </w:pPr>
      <w:r w:rsidRPr="00A37EFA">
        <w:t xml:space="preserve">- obróbki biologicznej, </w:t>
      </w:r>
      <w:r w:rsidRPr="00A37EFA">
        <w:rPr>
          <w:rStyle w:val="Ppogrubienie"/>
        </w:rPr>
        <w:t>w tym fermentacji beztlenowej,</w:t>
      </w:r>
    </w:p>
    <w:p w14:paraId="5ECF3E5E" w14:textId="77777777" w:rsidR="00A37EFA" w:rsidRPr="00A37EFA" w:rsidRDefault="00A37EFA" w:rsidP="00A37EFA">
      <w:r w:rsidRPr="00A37EFA">
        <w:t>Ust. 6. Instalacje w innych rodzajach działalności:</w:t>
      </w:r>
    </w:p>
    <w:p w14:paraId="4F988965" w14:textId="77777777" w:rsidR="00A37EFA" w:rsidRPr="00A37EFA" w:rsidRDefault="00A37EFA" w:rsidP="00A37EFA">
      <w:r w:rsidRPr="00A37EFA">
        <w:t>2) do obróbki wstępnej7) barwienia lub wykańczania włókien lub materiałów włókienniczych o zdolności produkcyjnej3) ponad 10 ton wyrobów gotowych na dobę;</w:t>
      </w:r>
    </w:p>
    <w:p w14:paraId="29DBBB17" w14:textId="77777777" w:rsidR="00A37EFA" w:rsidRPr="00A37EFA" w:rsidRDefault="00A37EFA" w:rsidP="00A37EFA">
      <w:pPr>
        <w:pStyle w:val="PKTpunkt"/>
      </w:pPr>
      <w:r w:rsidRPr="00A37EFA">
        <w:t>Ust. 6</w:t>
      </w:r>
    </w:p>
    <w:p w14:paraId="6DA51B33" w14:textId="77777777" w:rsidR="00A37EFA" w:rsidRPr="00A37EFA" w:rsidRDefault="00A37EFA" w:rsidP="00A37EFA">
      <w:pPr>
        <w:pStyle w:val="PKTpunkt"/>
      </w:pPr>
      <w:r w:rsidRPr="00A37EFA">
        <w:lastRenderedPageBreak/>
        <w:t>8) do chowu lub hodowli drobiu lub świń o więcej niż:</w:t>
      </w:r>
    </w:p>
    <w:p w14:paraId="7211560E" w14:textId="77777777" w:rsidR="00A37EFA" w:rsidRPr="00A37EFA" w:rsidRDefault="00A37EFA" w:rsidP="00A37EFA">
      <w:pPr>
        <w:pStyle w:val="LITlitera"/>
      </w:pPr>
      <w:r w:rsidRPr="00A37EFA">
        <w:rPr>
          <w:rStyle w:val="Ppogrubienie"/>
        </w:rPr>
        <w:t>a) chów świń wynoszący co najmniej 350 WPO, z wyłączeniem działalności w zakresie chowu prowadzonej w ramach systemów produkcji ekologicznej zgodnie z rozporządzeniem (UE) 2018/848, lub jeżeli gęstość obsady jest mniejsza niż 2 DJP/ha, wykorzystywanych wyłącznie do wypasu lub do uprawy paszy lub karmy wykorzystywanych do karmienia zwierząt, a zwierzęta pozostają na wolnym wybiegu przez znaczną część roku lub sezonowo.</w:t>
      </w:r>
    </w:p>
    <w:p w14:paraId="1E1F51E5" w14:textId="77777777" w:rsidR="00A37EFA" w:rsidRPr="00A37EFA" w:rsidRDefault="00A37EFA" w:rsidP="00A37EFA">
      <w:pPr>
        <w:pStyle w:val="LITlitera"/>
      </w:pPr>
      <w:r w:rsidRPr="00A37EFA">
        <w:rPr>
          <w:rStyle w:val="Ppogrubienie"/>
        </w:rPr>
        <w:t>b) chów wyłącznie kur niosek wynoszący co najmniej 300 WPO lub chów wyłącznie innych kategorii drobiu wynoszący co najmniej 280 WPO. W instalacjach, w których chowana jest kombinacja drobiu, w tym kur niosek, wartość progowa wynosi 280 DJP, a wydajność oblicza się przy użyciu 0,93 jako współczynnika ważenia (*) dla kur niosek.</w:t>
      </w:r>
    </w:p>
    <w:p w14:paraId="32958CF1" w14:textId="77777777" w:rsidR="00A37EFA" w:rsidRPr="00A37EFA" w:rsidRDefault="00A37EFA" w:rsidP="00A37EFA">
      <w:pPr>
        <w:pStyle w:val="LITlitera"/>
      </w:pPr>
      <w:r w:rsidRPr="00A37EFA">
        <w:rPr>
          <w:rStyle w:val="Ppogrubienie"/>
        </w:rPr>
        <w:t>c) chów wszelkiej kombinacji świń lub drobiu wynoszący co najmniej 380 WPO, z wyłączeniem chowu świń w instalacjach działających w ramach systemów produkcji ekologicznej zgodnie z rozporządzeniem (UE) 2018/848, lub jeżeli gęstość obsady jest mniejsza niż 2 DJP/ha, wykorzystywanych wyłącznie do wypasu lub do uprawy paszy lub karmy wykorzystywanych do karmienia zwierząt, a zwierzęta pozostają na wolnym wybiegu przez znaczną część roku lub sezonowo.</w:t>
      </w:r>
    </w:p>
    <w:p w14:paraId="2E4CCFB8" w14:textId="77777777" w:rsidR="00A37EFA" w:rsidRPr="00A37EFA" w:rsidRDefault="00A37EFA" w:rsidP="00A37EFA"/>
    <w:p w14:paraId="53C99B56" w14:textId="75D712FB" w:rsidR="00A37EFA" w:rsidRPr="00A37EFA" w:rsidRDefault="00A37EFA" w:rsidP="00A37EFA">
      <w:r w:rsidRPr="00A37EFA">
        <w:t>Dyrektywa 2024/1785 wyodrębnia intensywny chów świń i drobiu do osobnego rozdziału (</w:t>
      </w:r>
      <w:proofErr w:type="spellStart"/>
      <w:r w:rsidRPr="00A37EFA">
        <w:t>VIa</w:t>
      </w:r>
      <w:proofErr w:type="spellEnd"/>
      <w:r w:rsidRPr="00A37EFA">
        <w:t xml:space="preserve">) </w:t>
      </w:r>
      <w:r>
        <w:t xml:space="preserve"> </w:t>
      </w:r>
      <w:r w:rsidRPr="00A37EFA">
        <w:t xml:space="preserve">i Załącznika </w:t>
      </w:r>
      <w:proofErr w:type="spellStart"/>
      <w:r w:rsidRPr="00A37EFA">
        <w:t>Ia</w:t>
      </w:r>
      <w:proofErr w:type="spellEnd"/>
      <w:r w:rsidRPr="00A37EFA">
        <w:t xml:space="preserve">, obejmującego działalności podlegające art. 70a (zakres), art. 70b–70i (m.in. zasady eksploatacyjne i agregację gospodarstw). Zmiana obejmuje progi wyrażone w jednostkach żywego inwentarza (DJP): 350 DJP dla świń, 300 DJP dla kur niosek, 280 DJP dla innych kategorii drobiu, 380 DJP dla gospodarstw mieszanych; przewidziano wyłączenia dla produkcji ekologicznej oraz dla gospodarstw o obsadzie &lt; 2 DJP/ha, przy sezonowym lub znaczącym chowie na wolnym powietrzu. Obowiązujące rozporządzenie z 2014 r. określa, które instalacje wymagają pozwolenia zintegrowanego; jego załącznik obejmuje m.in. intensywny chów drobiu lub świń z progami: powyżej 40 000 stanowisk dla drobiu, powyżej 2 000 stanowisk dla świń &gt; 30 kg oraz powyżej 750 stanowisk dla macior. </w:t>
      </w:r>
      <w:r w:rsidRPr="00A37EFA">
        <w:br/>
        <w:t xml:space="preserve">W projektowanym rozporządzeniu wprowadzono nowe zasady kwalifikacji instalacji do chowu i hodowli drobiu w miejsce poprzedniego ust. 6 pkt 8 lit. a), b) i c) zał. do rozporządzenia, tak aby zachować poprzedni porządek i ułatwić stosowanie przepisów. </w:t>
      </w:r>
    </w:p>
    <w:p w14:paraId="785915BE" w14:textId="46834E16" w:rsidR="00A37EFA" w:rsidRPr="00A37EFA" w:rsidRDefault="00947CAA" w:rsidP="00A37EFA">
      <w:r w:rsidRPr="00947CAA">
        <w:lastRenderedPageBreak/>
        <w:t>Podkreślenia wymaga, że DJP wykorzystane w IED 2.0 różnią się od DJP funkcjonujących dotychczas w przepisach krajowych, np. w rozporządzeniu Rady Ministrów z dnia 10 września 2019 r. w sprawie przedsięwzięć mogących znacząco oddziaływać na środowisko (Dz. U. z 2019 r. poz. 1839). Różnice te są na tyle znaczne, że uniemożliwiają przeliczenie tak by np. w zakresie pozwoleń zintegrowanych i decyzji o środowiskowych uwarunkowaniach posługiwać się jednolitymi współczynnikami (bez zwężania lub rozszerzania wymagań wynikających z dyrektyw). Ponadto wymagania BAT dla chowu lub hodowli drobiu lub świń (tzw. jednolite zasady operacyjne) będą odnosić się do współczynników wskazaniach w IED 2.0</w:t>
      </w:r>
      <w:r>
        <w:t>. Dlatego też wprowadzono</w:t>
      </w:r>
      <w:r w:rsidR="00A37EFA" w:rsidRPr="00A37EFA">
        <w:t xml:space="preserve"> nowy przelicznik - współczynnik przeliczeniowy obsady (WPO</w:t>
      </w:r>
      <w:r>
        <w:t>)</w:t>
      </w:r>
      <w:r w:rsidR="00A37EFA" w:rsidRPr="00A37EFA">
        <w:t xml:space="preserve">. </w:t>
      </w:r>
    </w:p>
    <w:p w14:paraId="0CA4229F" w14:textId="3B83B7AE" w:rsidR="00A37EFA" w:rsidRPr="00A37EFA" w:rsidRDefault="00A37EFA" w:rsidP="00A37EFA">
      <w:pPr>
        <w:pStyle w:val="USTustnpkodeksu"/>
      </w:pPr>
      <w:r w:rsidRPr="00A37EFA">
        <w:t xml:space="preserve">Do projektu rozporządzenia wprowadzono nowy § 3.1, § 3.2 i § 3.3. Przepisy te transponują art. 70b, a ponadto przepisy te mają na celu eliminację problemu sztucznego dzielenia ferm. Tym samym, jeśli na terenie jednego zakładu funkcjonuje więcej niż jedna instalacja przypisana do ust. 6 pkt 8, to współczynnik przeliczeniowy obsady (WPO) sumuje się - przy czym przez WPO rozumie się maksymalną możliwą obsadę zwierząt, umożliwiającą sumowanie różnych kategorii zwierząt gospodarskich do celów porównawczych, obliczaną przy pomocy współczynników dla poszczególnych kategorii zwierząt gospodarskich; współczynniki przeliczeniowe sztuk zwierząt na WPO są określone </w:t>
      </w:r>
      <w:r w:rsidRPr="00A37EFA">
        <w:br/>
        <w:t>w załączniku nr 2 do rozporządzenia.</w:t>
      </w:r>
    </w:p>
    <w:p w14:paraId="0FD0E656" w14:textId="77777777" w:rsidR="00A37EFA" w:rsidRPr="00A37EFA" w:rsidRDefault="00A37EFA" w:rsidP="00A37EFA">
      <w:pPr>
        <w:pStyle w:val="ARTartustawynprozporzdzenia"/>
      </w:pPr>
      <w:r w:rsidRPr="00A37EFA">
        <w:t xml:space="preserve">Z kolei, jeśli mamy do czynienia z fermą (instalacją zakwalifikowaną na podstawie ust. 6 pkt 8), która sąsiaduje z inną fermą, a prowadzący pozostają w stosunku gospodarczym lub prawnym lub jeżeli między tymi instalacjami występuje powiązanie funkcjonalne to współczynniki WPO tych instalacji sumuje się. </w:t>
      </w:r>
    </w:p>
    <w:p w14:paraId="5C212A09" w14:textId="77777777" w:rsidR="00A37EFA" w:rsidRPr="00A37EFA" w:rsidRDefault="00A37EFA" w:rsidP="00A37EFA"/>
    <w:p w14:paraId="7F568F54" w14:textId="77777777" w:rsidR="00A37EFA" w:rsidRPr="00A37EFA" w:rsidRDefault="00A37EFA" w:rsidP="00A37EFA">
      <w:pPr>
        <w:pStyle w:val="USTustnpkodeksu"/>
      </w:pPr>
      <w:r w:rsidRPr="00A37EFA">
        <w:t xml:space="preserve">Komisja Europejska w zarzutach formalnych (naruszenie nr 2023/2173) wskazała, że przepis transponujący pkt 6.4 lit. b) akapit trzeci załącznika I do dyrektywy nie zawiera zdania: Niniejsza podsekcja nie ma zastosowania, jeżeli surowcem jest samo mleko. W związku z tym, Komisja Europejska uznała transpozycję za nieprawidłową. </w:t>
      </w:r>
    </w:p>
    <w:p w14:paraId="36C50C1E" w14:textId="1AAC7C22" w:rsidR="00A37EFA" w:rsidRPr="00A37EFA" w:rsidRDefault="00A37EFA" w:rsidP="00A37EFA">
      <w:pPr>
        <w:pStyle w:val="USTustnpkodeksu"/>
      </w:pPr>
      <w:r w:rsidRPr="00A37EFA">
        <w:t>Dlatego też wprowadza się zmianę w ust. 6 pkt 5 lit. c), dodając wyłączenie dotyczące mleka:</w:t>
      </w:r>
      <w:r>
        <w:t xml:space="preserve"> </w:t>
      </w:r>
      <w:r w:rsidRPr="00A37EFA">
        <w:t>surowców pochodzenia zwierzęcego (innych niż wyłącznie mleko) i roślinnego,</w:t>
      </w:r>
      <w:r w:rsidRPr="00A37EFA">
        <w:rPr>
          <w:rStyle w:val="Ppogrubienie"/>
        </w:rPr>
        <w:t xml:space="preserve"> </w:t>
      </w:r>
      <w:r w:rsidRPr="00A37EFA">
        <w:rPr>
          <w:rStyle w:val="Ppogrubienie"/>
        </w:rPr>
        <w:br/>
      </w:r>
      <w:r w:rsidRPr="00A37EFA">
        <w:t>o dobowej zdolności produkcyjnej wyrobów gotowych.</w:t>
      </w:r>
    </w:p>
    <w:p w14:paraId="406EA1B5" w14:textId="77777777" w:rsidR="00A37EFA" w:rsidRPr="00A37EFA" w:rsidRDefault="00A37EFA" w:rsidP="00A37EFA">
      <w:bookmarkStart w:id="6" w:name="_Hlk215483982"/>
      <w:r w:rsidRPr="00A37EFA">
        <w:t>Ponadto doprecyzowano zapisy, które w chwili obecnej stanowią trudności interpretacyjne lub stanowią oczywistą omyłkę zaistniałą podczas redagowania treści przepisów w 2014 r.:</w:t>
      </w:r>
    </w:p>
    <w:p w14:paraId="6F3E692E" w14:textId="77777777" w:rsidR="00A37EFA" w:rsidRPr="00A37EFA" w:rsidRDefault="00A37EFA" w:rsidP="00A37EFA">
      <w:pPr>
        <w:pStyle w:val="Akapitzlist"/>
      </w:pPr>
      <w:r w:rsidRPr="00A37EFA">
        <w:lastRenderedPageBreak/>
        <w:t xml:space="preserve">ust. 6 pkt 5 na zgodny z treścią załącznika I do dyrektywy 2010/75/UE: </w:t>
      </w:r>
    </w:p>
    <w:p w14:paraId="4855EE0A" w14:textId="77777777" w:rsidR="00A37EFA" w:rsidRPr="00A37EFA" w:rsidRDefault="00A37EFA" w:rsidP="00A37EFA">
      <w:pPr>
        <w:pStyle w:val="Akapitzlist"/>
      </w:pPr>
      <w:r w:rsidRPr="00A37EFA">
        <w:t xml:space="preserve">do obróbki i przetwórstwa, poza wyłącznym pakowaniem, następujących surowców przetworzonych lub nieprzetworzonych do celów wytwarzania produktów spożywczych lub paszy </w:t>
      </w:r>
    </w:p>
    <w:p w14:paraId="2399D7DE" w14:textId="77777777" w:rsidR="00A37EFA" w:rsidRPr="00A37EFA" w:rsidRDefault="00A37EFA" w:rsidP="00A37EFA">
      <w:pPr>
        <w:pStyle w:val="Akapitzlist"/>
      </w:pPr>
      <w:r w:rsidRPr="00A37EFA">
        <w:t xml:space="preserve">ust. 6 pkt 7 na zgodny z </w:t>
      </w:r>
      <w:bookmarkStart w:id="7" w:name="_Hlk216692659"/>
      <w:r w:rsidRPr="00A37EFA">
        <w:t xml:space="preserve">treścią załącznika I do dyrektywy 2010/75/UE: </w:t>
      </w:r>
      <w:bookmarkEnd w:id="7"/>
    </w:p>
    <w:p w14:paraId="5FFB1825" w14:textId="77777777" w:rsidR="00A37EFA" w:rsidRPr="00A37EFA" w:rsidRDefault="00A37EFA" w:rsidP="00A37EFA">
      <w:pPr>
        <w:pStyle w:val="Akapitzlist"/>
      </w:pPr>
      <w:r w:rsidRPr="00A37EFA">
        <w:t>unieszkodliwiania lub odzysku (recyklingu) padłych lub ubitych zwierząt lub produktów ubocznych pochodzenia zwierzęcego o zdolności przetwarzania</w:t>
      </w:r>
      <w:r w:rsidRPr="00A37EFA">
        <w:rPr>
          <w:rStyle w:val="IGindeksgrny"/>
        </w:rPr>
        <w:t>5)</w:t>
      </w:r>
      <w:r w:rsidRPr="00A37EFA">
        <w:t xml:space="preserve"> ponad 10 ton na dobę</w:t>
      </w:r>
    </w:p>
    <w:p w14:paraId="3EDA1BA2" w14:textId="77777777" w:rsidR="00A37EFA" w:rsidRPr="00A37EFA" w:rsidRDefault="00A37EFA" w:rsidP="00A37EFA">
      <w:pPr>
        <w:pStyle w:val="Akapitzlist"/>
      </w:pPr>
      <w:r w:rsidRPr="00A37EFA">
        <w:t xml:space="preserve">objaśnienie nr 5 na zgodny z treścią załącznika I do dyrektywy 2010/75/UE: </w:t>
      </w:r>
    </w:p>
    <w:p w14:paraId="5062E7AC" w14:textId="77777777" w:rsidR="00A37EFA" w:rsidRPr="00A37EFA" w:rsidRDefault="00A37EFA" w:rsidP="00A37EFA">
      <w:pPr>
        <w:pStyle w:val="Akapitzlist"/>
      </w:pPr>
      <w:r w:rsidRPr="00A37EFA">
        <w:t>największa ilość określonego surowca lub określonych surowców (odpadu lub odpadów), która może być przetworzona w jednostce czasu w normalnych warunkach pracy instalacji</w:t>
      </w:r>
    </w:p>
    <w:p w14:paraId="7D5E98CF" w14:textId="77777777" w:rsidR="00A37EFA" w:rsidRPr="00A37EFA" w:rsidRDefault="00A37EFA" w:rsidP="00A37EFA">
      <w:pPr>
        <w:pStyle w:val="Akapitzlist"/>
      </w:pPr>
      <w:r w:rsidRPr="00A37EFA">
        <w:t xml:space="preserve">dodano objaśnienie nr 12 dzięki czemu doprecyzowano pojęcie obróbki fizyczno-chemicznej, tj.: obróbka fizyczno-chemiczna - rozumie się przez to obróbkę fizyczną, chemiczną i fizyczno-chemiczną kwalifikowaną jako proces D9 zgodnie </w:t>
      </w:r>
      <w:r w:rsidRPr="00A37EFA">
        <w:br/>
        <w:t>z załącznikiem nr 2 do ustawy z dnia 14 grudnia 2012 r. o odpadach;</w:t>
      </w:r>
    </w:p>
    <w:p w14:paraId="3119298C" w14:textId="77777777" w:rsidR="00A37EFA" w:rsidRPr="00A37EFA" w:rsidRDefault="00A37EFA" w:rsidP="00A37EFA">
      <w:pPr>
        <w:pStyle w:val="Akapitzlist"/>
      </w:pPr>
      <w:r w:rsidRPr="00A37EFA">
        <w:t>dodano objaśnienie nr 13 dzięki czemu doprecyzowano kwestię wyłączenia magazynowania w ramach Punktów Selektywnej Zbiórki Odpadów komunalnych (PSZOK) prowadzonych samodzielnie przez gminę lub wspólnie z inną gminą lub gminami na podstawie ustawy o odpadach spod obowiązku uzyskania pozwolenia zintegrowanego na podstawie ust. 5 pkt 5 załącznika nr 1 do projektowanego rozporządzenia;</w:t>
      </w:r>
    </w:p>
    <w:p w14:paraId="2D5BAC83" w14:textId="77777777" w:rsidR="00A37EFA" w:rsidRPr="00A37EFA" w:rsidRDefault="00A37EFA" w:rsidP="00A37EFA">
      <w:pPr>
        <w:pStyle w:val="Akapitzlist"/>
      </w:pPr>
      <w:r w:rsidRPr="00A37EFA">
        <w:t>Dodano objaśnienie nr 14 powiązania funkcjonalnego, które doprecyzowuje transponowany art. 70b Dyrektywy IED 2.0:</w:t>
      </w:r>
    </w:p>
    <w:bookmarkEnd w:id="6"/>
    <w:p w14:paraId="20647F8B" w14:textId="57333529" w:rsidR="00A37EFA" w:rsidRPr="00A37EFA" w:rsidRDefault="00A37EFA" w:rsidP="00A37EFA"/>
    <w:p w14:paraId="4A7DC39F" w14:textId="77777777" w:rsidR="00A37EFA" w:rsidRPr="00A37EFA" w:rsidRDefault="00A37EFA" w:rsidP="00A37EFA">
      <w:pPr>
        <w:pStyle w:val="Akapitzlist"/>
      </w:pPr>
      <w:r w:rsidRPr="00A37EFA">
        <w:t>Pozostałe informacje</w:t>
      </w:r>
    </w:p>
    <w:p w14:paraId="55C69994" w14:textId="77777777" w:rsidR="00A37EFA" w:rsidRPr="00A37EFA" w:rsidRDefault="00A37EFA" w:rsidP="00A37EFA">
      <w:pPr>
        <w:pStyle w:val="ARTartustawynprozporzdzenia"/>
      </w:pPr>
      <w:r w:rsidRPr="00A37EFA">
        <w:t>Rozporządzenie wejdzie w życie po upływie 14 dni od dnia ogłoszenia, co zapewni wystarczający czas na dostosowanie się adresatów do zmienionych przepisów.</w:t>
      </w:r>
    </w:p>
    <w:p w14:paraId="3EFEB568" w14:textId="77777777" w:rsidR="00A37EFA" w:rsidRPr="00A37EFA" w:rsidRDefault="00A37EFA" w:rsidP="00A37EFA">
      <w:pPr>
        <w:pStyle w:val="ARTartustawynprozporzdzenia"/>
      </w:pPr>
      <w:r w:rsidRPr="00A37EFA">
        <w:t>Projektowane rozporządzenie nie podlega procedurze notyfikacji w rozumieniu przepisów rozporządzenia Rady Ministrów z dnia 23 grudnia 2002 r. w sprawie sposobu funkcjonowania krajowego systemu notyfikacji norm i aktów prawnych.</w:t>
      </w:r>
    </w:p>
    <w:p w14:paraId="4C822D2C" w14:textId="77777777" w:rsidR="00A37EFA" w:rsidRPr="00A37EFA" w:rsidRDefault="00A37EFA" w:rsidP="00A37EFA">
      <w:r w:rsidRPr="00A37EFA">
        <w:t>Projekt rozporządzenia jest zgodny z prawem Unii Europejskiej.</w:t>
      </w:r>
    </w:p>
    <w:p w14:paraId="390BDB62" w14:textId="77777777" w:rsidR="00A37EFA" w:rsidRPr="00A37EFA" w:rsidRDefault="00A37EFA" w:rsidP="00A37EFA">
      <w:pPr>
        <w:pStyle w:val="ARTartustawynprozporzdzenia"/>
      </w:pPr>
      <w:r w:rsidRPr="00A37EFA">
        <w:lastRenderedPageBreak/>
        <w:t>Nie zachodzi konieczność przedstawienia projektu rozporządzenia właściwym organom i instytucjom Unii Europejskiej, w tym Europejskiemu Bankowi Centralnemu.</w:t>
      </w:r>
    </w:p>
    <w:p w14:paraId="16EC15BF" w14:textId="628B3EC2" w:rsidR="00A37EFA" w:rsidRPr="00A37EFA" w:rsidRDefault="00A37EFA" w:rsidP="00A37EFA">
      <w:pPr>
        <w:pStyle w:val="ARTartustawynprozporzdzenia"/>
      </w:pPr>
      <w:r w:rsidRPr="00A37EFA">
        <w:t xml:space="preserve">Projektowane rozporządzenie nie będzie mieć wpływu na sytuację ekonomiczną </w:t>
      </w:r>
      <w:r w:rsidR="00947CAA">
        <w:br/>
      </w:r>
      <w:r w:rsidRPr="00A37EFA">
        <w:t>i społeczną rodziny, osób niepełnosprawnych oraz osób starszych.</w:t>
      </w:r>
    </w:p>
    <w:p w14:paraId="7A0AFD60" w14:textId="77777777" w:rsidR="00A37EFA" w:rsidRPr="00A37EFA" w:rsidRDefault="00A37EFA" w:rsidP="00A37EFA">
      <w:pPr>
        <w:pStyle w:val="ARTartustawynprozporzdzenia"/>
      </w:pPr>
      <w:r w:rsidRPr="00A37EFA">
        <w:t xml:space="preserve">Stosownie do postanowień § 52 ust. 1 uchwały nr 190 Rady Ministrów z dnia 29 października 2013 r. – Regulamin pracy Rady Ministrów (M.P. z 2024 r. poz. 806, z </w:t>
      </w:r>
      <w:proofErr w:type="spellStart"/>
      <w:r w:rsidRPr="00A37EFA">
        <w:t>późn</w:t>
      </w:r>
      <w:proofErr w:type="spellEnd"/>
      <w:r w:rsidRPr="00A37EFA">
        <w:t>. zm.), projekt rozporządzenia został udostępniony w Biuletynie Informacji Publicznej na stronie podmiotowej Rządowego Centrum Legislacji, w serwisie Rządowy Proces Legislacyjny.</w:t>
      </w:r>
    </w:p>
    <w:p w14:paraId="12A74689" w14:textId="77777777" w:rsidR="00A37EFA" w:rsidRPr="00A37EFA" w:rsidRDefault="00A37EFA" w:rsidP="00A37EFA"/>
    <w:p w14:paraId="1023FA36" w14:textId="77777777" w:rsidR="00A37EFA" w:rsidRPr="007A4AE7" w:rsidRDefault="00A37EFA" w:rsidP="00D84659">
      <w:pPr>
        <w:rPr>
          <w:rStyle w:val="Ppogrubienie"/>
        </w:rPr>
      </w:pPr>
    </w:p>
    <w:sectPr w:rsidR="00A37EFA" w:rsidRPr="007A4AE7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C3315" w14:textId="77777777" w:rsidR="003D6C0A" w:rsidRDefault="003D6C0A">
      <w:r>
        <w:separator/>
      </w:r>
    </w:p>
  </w:endnote>
  <w:endnote w:type="continuationSeparator" w:id="0">
    <w:p w14:paraId="501050AD" w14:textId="77777777" w:rsidR="003D6C0A" w:rsidRDefault="003D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20BE5" w14:textId="77777777" w:rsidR="003D6C0A" w:rsidRDefault="003D6C0A">
      <w:r>
        <w:separator/>
      </w:r>
    </w:p>
  </w:footnote>
  <w:footnote w:type="continuationSeparator" w:id="0">
    <w:p w14:paraId="78EFF805" w14:textId="77777777" w:rsidR="003D6C0A" w:rsidRDefault="003D6C0A">
      <w:r>
        <w:continuationSeparator/>
      </w:r>
    </w:p>
  </w:footnote>
  <w:footnote w:id="1">
    <w:p w14:paraId="3B77913D" w14:textId="7E98E9EF" w:rsidR="00395BD6" w:rsidRDefault="00395BD6" w:rsidP="00395BD6">
      <w:pPr>
        <w:pStyle w:val="ODNONIKtreodnonika"/>
      </w:pPr>
      <w:r>
        <w:rPr>
          <w:rStyle w:val="Odwoanieprzypisudolnego"/>
        </w:rPr>
        <w:t>1)</w:t>
      </w:r>
      <w:r>
        <w:t xml:space="preserve"> </w:t>
      </w:r>
      <w:r w:rsidRPr="00395BD6">
        <w:t>Minister Klimatu i Środowiska kieruje działem administracji rządowej – klimat, na podstawie § 1 ust. 2 pkt 1 rozporządzenia Prezesa</w:t>
      </w:r>
      <w:r>
        <w:t xml:space="preserve"> </w:t>
      </w:r>
      <w:r w:rsidRPr="00395BD6">
        <w:t>Rady Ministrów z dnia 25 lipca 2025 r. w sprawie szczegółowego zakresu działania Ministra Klimatu i Środowiska (Dz. U. poz. 995).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F71E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676AA"/>
    <w:multiLevelType w:val="multilevel"/>
    <w:tmpl w:val="71F05C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4336C3"/>
    <w:multiLevelType w:val="multilevel"/>
    <w:tmpl w:val="50AEB7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31D6E59"/>
    <w:multiLevelType w:val="multilevel"/>
    <w:tmpl w:val="1696F82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9735830">
    <w:abstractNumId w:val="24"/>
  </w:num>
  <w:num w:numId="2" w16cid:durableId="950742997">
    <w:abstractNumId w:val="24"/>
  </w:num>
  <w:num w:numId="3" w16cid:durableId="1366058130">
    <w:abstractNumId w:val="19"/>
  </w:num>
  <w:num w:numId="4" w16cid:durableId="1360860151">
    <w:abstractNumId w:val="19"/>
  </w:num>
  <w:num w:numId="5" w16cid:durableId="298922040">
    <w:abstractNumId w:val="38"/>
  </w:num>
  <w:num w:numId="6" w16cid:durableId="1937134271">
    <w:abstractNumId w:val="33"/>
  </w:num>
  <w:num w:numId="7" w16cid:durableId="1438522796">
    <w:abstractNumId w:val="38"/>
  </w:num>
  <w:num w:numId="8" w16cid:durableId="338699943">
    <w:abstractNumId w:val="33"/>
  </w:num>
  <w:num w:numId="9" w16cid:durableId="1441027264">
    <w:abstractNumId w:val="38"/>
  </w:num>
  <w:num w:numId="10" w16cid:durableId="1586375247">
    <w:abstractNumId w:val="33"/>
  </w:num>
  <w:num w:numId="11" w16cid:durableId="1314682453">
    <w:abstractNumId w:val="15"/>
  </w:num>
  <w:num w:numId="12" w16cid:durableId="787091762">
    <w:abstractNumId w:val="11"/>
  </w:num>
  <w:num w:numId="13" w16cid:durableId="2049448866">
    <w:abstractNumId w:val="16"/>
  </w:num>
  <w:num w:numId="14" w16cid:durableId="1739093998">
    <w:abstractNumId w:val="28"/>
  </w:num>
  <w:num w:numId="15" w16cid:durableId="385181908">
    <w:abstractNumId w:val="15"/>
  </w:num>
  <w:num w:numId="16" w16cid:durableId="1783987882">
    <w:abstractNumId w:val="17"/>
  </w:num>
  <w:num w:numId="17" w16cid:durableId="1207253653">
    <w:abstractNumId w:val="8"/>
  </w:num>
  <w:num w:numId="18" w16cid:durableId="135689701">
    <w:abstractNumId w:val="3"/>
  </w:num>
  <w:num w:numId="19" w16cid:durableId="1487471480">
    <w:abstractNumId w:val="2"/>
  </w:num>
  <w:num w:numId="20" w16cid:durableId="790511948">
    <w:abstractNumId w:val="1"/>
  </w:num>
  <w:num w:numId="21" w16cid:durableId="337193071">
    <w:abstractNumId w:val="0"/>
  </w:num>
  <w:num w:numId="22" w16cid:durableId="914314399">
    <w:abstractNumId w:val="9"/>
  </w:num>
  <w:num w:numId="23" w16cid:durableId="441847504">
    <w:abstractNumId w:val="7"/>
  </w:num>
  <w:num w:numId="24" w16cid:durableId="1895385170">
    <w:abstractNumId w:val="6"/>
  </w:num>
  <w:num w:numId="25" w16cid:durableId="267734690">
    <w:abstractNumId w:val="5"/>
  </w:num>
  <w:num w:numId="26" w16cid:durableId="663317979">
    <w:abstractNumId w:val="4"/>
  </w:num>
  <w:num w:numId="27" w16cid:durableId="188105736">
    <w:abstractNumId w:val="35"/>
  </w:num>
  <w:num w:numId="28" w16cid:durableId="809445352">
    <w:abstractNumId w:val="27"/>
  </w:num>
  <w:num w:numId="29" w16cid:durableId="1804688898">
    <w:abstractNumId w:val="39"/>
  </w:num>
  <w:num w:numId="30" w16cid:durableId="173569899">
    <w:abstractNumId w:val="34"/>
  </w:num>
  <w:num w:numId="31" w16cid:durableId="41830300">
    <w:abstractNumId w:val="20"/>
  </w:num>
  <w:num w:numId="32" w16cid:durableId="2110155338">
    <w:abstractNumId w:val="12"/>
  </w:num>
  <w:num w:numId="33" w16cid:durableId="1911499129">
    <w:abstractNumId w:val="32"/>
  </w:num>
  <w:num w:numId="34" w16cid:durableId="2050832686">
    <w:abstractNumId w:val="21"/>
  </w:num>
  <w:num w:numId="35" w16cid:durableId="1249730728">
    <w:abstractNumId w:val="18"/>
  </w:num>
  <w:num w:numId="36" w16cid:durableId="1953827259">
    <w:abstractNumId w:val="23"/>
  </w:num>
  <w:num w:numId="37" w16cid:durableId="1617371276">
    <w:abstractNumId w:val="29"/>
  </w:num>
  <w:num w:numId="38" w16cid:durableId="1190290038">
    <w:abstractNumId w:val="26"/>
  </w:num>
  <w:num w:numId="39" w16cid:durableId="871650963">
    <w:abstractNumId w:val="14"/>
  </w:num>
  <w:num w:numId="40" w16cid:durableId="1093164705">
    <w:abstractNumId w:val="31"/>
  </w:num>
  <w:num w:numId="41" w16cid:durableId="79303986">
    <w:abstractNumId w:val="30"/>
  </w:num>
  <w:num w:numId="42" w16cid:durableId="1597518676">
    <w:abstractNumId w:val="22"/>
  </w:num>
  <w:num w:numId="43" w16cid:durableId="82848096">
    <w:abstractNumId w:val="36"/>
  </w:num>
  <w:num w:numId="44" w16cid:durableId="997225894">
    <w:abstractNumId w:val="13"/>
  </w:num>
  <w:num w:numId="45" w16cid:durableId="567804837">
    <w:abstractNumId w:val="37"/>
  </w:num>
  <w:num w:numId="46" w16cid:durableId="2077241683">
    <w:abstractNumId w:val="37"/>
    <w:lvlOverride w:ilvl="0">
      <w:startOverride w:val="1"/>
    </w:lvlOverride>
  </w:num>
  <w:num w:numId="47" w16cid:durableId="533153897">
    <w:abstractNumId w:val="10"/>
  </w:num>
  <w:num w:numId="48" w16cid:durableId="56958149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85"/>
    <w:rsid w:val="000012DA"/>
    <w:rsid w:val="0000246E"/>
    <w:rsid w:val="00003862"/>
    <w:rsid w:val="00012A35"/>
    <w:rsid w:val="00014B6E"/>
    <w:rsid w:val="00016099"/>
    <w:rsid w:val="00017DC2"/>
    <w:rsid w:val="00021522"/>
    <w:rsid w:val="0002276C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47D94"/>
    <w:rsid w:val="000508BD"/>
    <w:rsid w:val="000517AB"/>
    <w:rsid w:val="0005339C"/>
    <w:rsid w:val="0005571B"/>
    <w:rsid w:val="00056859"/>
    <w:rsid w:val="00057AB3"/>
    <w:rsid w:val="00060076"/>
    <w:rsid w:val="00060432"/>
    <w:rsid w:val="00060D87"/>
    <w:rsid w:val="000615A5"/>
    <w:rsid w:val="00064E4C"/>
    <w:rsid w:val="00066901"/>
    <w:rsid w:val="0006782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103"/>
    <w:rsid w:val="0009732D"/>
    <w:rsid w:val="000973F0"/>
    <w:rsid w:val="000A1296"/>
    <w:rsid w:val="000A1C27"/>
    <w:rsid w:val="000A1DAD"/>
    <w:rsid w:val="000A2649"/>
    <w:rsid w:val="000A323B"/>
    <w:rsid w:val="000A7C09"/>
    <w:rsid w:val="000B04C5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0197"/>
    <w:rsid w:val="000E25CC"/>
    <w:rsid w:val="000E3694"/>
    <w:rsid w:val="000E490F"/>
    <w:rsid w:val="000E6241"/>
    <w:rsid w:val="000F2BE3"/>
    <w:rsid w:val="000F32B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56F"/>
    <w:rsid w:val="00134CA0"/>
    <w:rsid w:val="00137F85"/>
    <w:rsid w:val="00140247"/>
    <w:rsid w:val="0014026F"/>
    <w:rsid w:val="001424AF"/>
    <w:rsid w:val="00147A47"/>
    <w:rsid w:val="00147AA1"/>
    <w:rsid w:val="001520CF"/>
    <w:rsid w:val="0015212D"/>
    <w:rsid w:val="0015667C"/>
    <w:rsid w:val="00157110"/>
    <w:rsid w:val="0015742A"/>
    <w:rsid w:val="00157DA1"/>
    <w:rsid w:val="00163147"/>
    <w:rsid w:val="00164C57"/>
    <w:rsid w:val="00164C9D"/>
    <w:rsid w:val="00166756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07E2"/>
    <w:rsid w:val="001A10E9"/>
    <w:rsid w:val="001A183D"/>
    <w:rsid w:val="001A2B65"/>
    <w:rsid w:val="001A3CD3"/>
    <w:rsid w:val="001A56B9"/>
    <w:rsid w:val="001A5BEF"/>
    <w:rsid w:val="001A7F15"/>
    <w:rsid w:val="001B342E"/>
    <w:rsid w:val="001C1832"/>
    <w:rsid w:val="001C188C"/>
    <w:rsid w:val="001C305F"/>
    <w:rsid w:val="001D1783"/>
    <w:rsid w:val="001D53CD"/>
    <w:rsid w:val="001D55A3"/>
    <w:rsid w:val="001D5AF5"/>
    <w:rsid w:val="001D5D4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3FE"/>
    <w:rsid w:val="00204A97"/>
    <w:rsid w:val="00205C31"/>
    <w:rsid w:val="002114EF"/>
    <w:rsid w:val="002166AD"/>
    <w:rsid w:val="00217871"/>
    <w:rsid w:val="00220C2B"/>
    <w:rsid w:val="00221ED8"/>
    <w:rsid w:val="002231EA"/>
    <w:rsid w:val="00223FDF"/>
    <w:rsid w:val="002262AF"/>
    <w:rsid w:val="002279C0"/>
    <w:rsid w:val="0023680D"/>
    <w:rsid w:val="0023727E"/>
    <w:rsid w:val="00242081"/>
    <w:rsid w:val="00243777"/>
    <w:rsid w:val="002441CD"/>
    <w:rsid w:val="002501A3"/>
    <w:rsid w:val="00250A2C"/>
    <w:rsid w:val="0025166C"/>
    <w:rsid w:val="002532FE"/>
    <w:rsid w:val="002555D4"/>
    <w:rsid w:val="00261A16"/>
    <w:rsid w:val="00263522"/>
    <w:rsid w:val="00264EC6"/>
    <w:rsid w:val="00271013"/>
    <w:rsid w:val="00273FE4"/>
    <w:rsid w:val="002765B4"/>
    <w:rsid w:val="00276A94"/>
    <w:rsid w:val="002830EA"/>
    <w:rsid w:val="00293A16"/>
    <w:rsid w:val="0029405D"/>
    <w:rsid w:val="00294FA6"/>
    <w:rsid w:val="00295223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14E3"/>
    <w:rsid w:val="002D0C4F"/>
    <w:rsid w:val="002D1364"/>
    <w:rsid w:val="002D4D30"/>
    <w:rsid w:val="002D5000"/>
    <w:rsid w:val="002D598D"/>
    <w:rsid w:val="002D6044"/>
    <w:rsid w:val="002D7188"/>
    <w:rsid w:val="002E1DE3"/>
    <w:rsid w:val="002E2AB6"/>
    <w:rsid w:val="002E3F34"/>
    <w:rsid w:val="002E5F79"/>
    <w:rsid w:val="002E64FA"/>
    <w:rsid w:val="002F0A00"/>
    <w:rsid w:val="002F0CFA"/>
    <w:rsid w:val="002F4033"/>
    <w:rsid w:val="002F4C31"/>
    <w:rsid w:val="002F669F"/>
    <w:rsid w:val="00301C97"/>
    <w:rsid w:val="00304C08"/>
    <w:rsid w:val="00306B33"/>
    <w:rsid w:val="0031004C"/>
    <w:rsid w:val="003105A2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1F33"/>
    <w:rsid w:val="003442EB"/>
    <w:rsid w:val="003458B5"/>
    <w:rsid w:val="00345B9C"/>
    <w:rsid w:val="00351A7D"/>
    <w:rsid w:val="00352DAE"/>
    <w:rsid w:val="00354EB9"/>
    <w:rsid w:val="003602AE"/>
    <w:rsid w:val="00360929"/>
    <w:rsid w:val="003647D5"/>
    <w:rsid w:val="003674B0"/>
    <w:rsid w:val="0037727C"/>
    <w:rsid w:val="003772E7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0CB"/>
    <w:rsid w:val="003915B1"/>
    <w:rsid w:val="00391B1A"/>
    <w:rsid w:val="00394423"/>
    <w:rsid w:val="00395BD6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71A0"/>
    <w:rsid w:val="003D12C2"/>
    <w:rsid w:val="003D31B9"/>
    <w:rsid w:val="003D3867"/>
    <w:rsid w:val="003D641E"/>
    <w:rsid w:val="003D6C0A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4A80"/>
    <w:rsid w:val="00417B22"/>
    <w:rsid w:val="00417E9A"/>
    <w:rsid w:val="00421085"/>
    <w:rsid w:val="0042465E"/>
    <w:rsid w:val="00424DF7"/>
    <w:rsid w:val="00432B76"/>
    <w:rsid w:val="0043377A"/>
    <w:rsid w:val="00434D01"/>
    <w:rsid w:val="00435D26"/>
    <w:rsid w:val="00440C99"/>
    <w:rsid w:val="0044175C"/>
    <w:rsid w:val="00445F4D"/>
    <w:rsid w:val="004504C0"/>
    <w:rsid w:val="004550FB"/>
    <w:rsid w:val="00457173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802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2340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11B4"/>
    <w:rsid w:val="004C3B06"/>
    <w:rsid w:val="004C3F97"/>
    <w:rsid w:val="004C7EE7"/>
    <w:rsid w:val="004D06E2"/>
    <w:rsid w:val="004D2DEE"/>
    <w:rsid w:val="004D2E1F"/>
    <w:rsid w:val="004D51BF"/>
    <w:rsid w:val="004D5251"/>
    <w:rsid w:val="004D713B"/>
    <w:rsid w:val="004D7FD9"/>
    <w:rsid w:val="004E1324"/>
    <w:rsid w:val="004E19A5"/>
    <w:rsid w:val="004E37E5"/>
    <w:rsid w:val="004E3FDB"/>
    <w:rsid w:val="004E6DEE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6D63"/>
    <w:rsid w:val="00526DFC"/>
    <w:rsid w:val="00526F43"/>
    <w:rsid w:val="00527651"/>
    <w:rsid w:val="0053397F"/>
    <w:rsid w:val="005363AB"/>
    <w:rsid w:val="00544EF4"/>
    <w:rsid w:val="00545E53"/>
    <w:rsid w:val="005479D9"/>
    <w:rsid w:val="00550894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40C"/>
    <w:rsid w:val="005A095C"/>
    <w:rsid w:val="005A669D"/>
    <w:rsid w:val="005A75D8"/>
    <w:rsid w:val="005B713E"/>
    <w:rsid w:val="005C03B6"/>
    <w:rsid w:val="005C348E"/>
    <w:rsid w:val="005C441A"/>
    <w:rsid w:val="005C45F5"/>
    <w:rsid w:val="005C68E1"/>
    <w:rsid w:val="005D3763"/>
    <w:rsid w:val="005D55E1"/>
    <w:rsid w:val="005D67BA"/>
    <w:rsid w:val="005E19F7"/>
    <w:rsid w:val="005E4F04"/>
    <w:rsid w:val="005E62C2"/>
    <w:rsid w:val="005E6C71"/>
    <w:rsid w:val="005F0963"/>
    <w:rsid w:val="005F1E2C"/>
    <w:rsid w:val="005F2824"/>
    <w:rsid w:val="005F2896"/>
    <w:rsid w:val="005F2EBA"/>
    <w:rsid w:val="005F35ED"/>
    <w:rsid w:val="005F51F2"/>
    <w:rsid w:val="005F7812"/>
    <w:rsid w:val="005F7A88"/>
    <w:rsid w:val="00603A1A"/>
    <w:rsid w:val="006046D5"/>
    <w:rsid w:val="00604762"/>
    <w:rsid w:val="00607A93"/>
    <w:rsid w:val="00610C08"/>
    <w:rsid w:val="00611F74"/>
    <w:rsid w:val="00613A1E"/>
    <w:rsid w:val="00615772"/>
    <w:rsid w:val="00621256"/>
    <w:rsid w:val="00621FCC"/>
    <w:rsid w:val="00622E4B"/>
    <w:rsid w:val="006333DA"/>
    <w:rsid w:val="00635134"/>
    <w:rsid w:val="006356E2"/>
    <w:rsid w:val="00636447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4746"/>
    <w:rsid w:val="006969FA"/>
    <w:rsid w:val="006A35D5"/>
    <w:rsid w:val="006A3623"/>
    <w:rsid w:val="006A748A"/>
    <w:rsid w:val="006B049A"/>
    <w:rsid w:val="006C1049"/>
    <w:rsid w:val="006C2116"/>
    <w:rsid w:val="006C3800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1561"/>
    <w:rsid w:val="006F2648"/>
    <w:rsid w:val="006F2F10"/>
    <w:rsid w:val="006F482B"/>
    <w:rsid w:val="006F6311"/>
    <w:rsid w:val="006F6A6F"/>
    <w:rsid w:val="006F7DBF"/>
    <w:rsid w:val="00701952"/>
    <w:rsid w:val="00702556"/>
    <w:rsid w:val="0070277E"/>
    <w:rsid w:val="00702D39"/>
    <w:rsid w:val="00704156"/>
    <w:rsid w:val="00706943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664"/>
    <w:rsid w:val="00717C2E"/>
    <w:rsid w:val="007204FA"/>
    <w:rsid w:val="007213B3"/>
    <w:rsid w:val="00722D64"/>
    <w:rsid w:val="0072457F"/>
    <w:rsid w:val="00725406"/>
    <w:rsid w:val="0072621B"/>
    <w:rsid w:val="00730555"/>
    <w:rsid w:val="00730FF6"/>
    <w:rsid w:val="007312CC"/>
    <w:rsid w:val="00736A64"/>
    <w:rsid w:val="00737F6A"/>
    <w:rsid w:val="007410B6"/>
    <w:rsid w:val="007412AA"/>
    <w:rsid w:val="00744C6F"/>
    <w:rsid w:val="007457F6"/>
    <w:rsid w:val="00745ABB"/>
    <w:rsid w:val="00746E38"/>
    <w:rsid w:val="00747CD5"/>
    <w:rsid w:val="00752074"/>
    <w:rsid w:val="00753912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4AE7"/>
    <w:rsid w:val="007A5150"/>
    <w:rsid w:val="007A5373"/>
    <w:rsid w:val="007A789F"/>
    <w:rsid w:val="007B0B64"/>
    <w:rsid w:val="007B75BC"/>
    <w:rsid w:val="007C0BD6"/>
    <w:rsid w:val="007C3806"/>
    <w:rsid w:val="007C5BB7"/>
    <w:rsid w:val="007D07D5"/>
    <w:rsid w:val="007D1C64"/>
    <w:rsid w:val="007D2545"/>
    <w:rsid w:val="007D32DD"/>
    <w:rsid w:val="007D6DCE"/>
    <w:rsid w:val="007D72C4"/>
    <w:rsid w:val="007E2CFE"/>
    <w:rsid w:val="007E59C9"/>
    <w:rsid w:val="007F0072"/>
    <w:rsid w:val="007F1FFA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2028"/>
    <w:rsid w:val="00824591"/>
    <w:rsid w:val="00824AED"/>
    <w:rsid w:val="00827820"/>
    <w:rsid w:val="00831722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4E30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9759C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E7966"/>
    <w:rsid w:val="008F0654"/>
    <w:rsid w:val="008F06CB"/>
    <w:rsid w:val="008F1BC9"/>
    <w:rsid w:val="008F2E83"/>
    <w:rsid w:val="008F606D"/>
    <w:rsid w:val="008F612A"/>
    <w:rsid w:val="008F77A2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4EAB"/>
    <w:rsid w:val="00925241"/>
    <w:rsid w:val="00925CEC"/>
    <w:rsid w:val="00926A3F"/>
    <w:rsid w:val="0092794E"/>
    <w:rsid w:val="00930D30"/>
    <w:rsid w:val="009332A2"/>
    <w:rsid w:val="00937598"/>
    <w:rsid w:val="0093790B"/>
    <w:rsid w:val="0094232A"/>
    <w:rsid w:val="00943751"/>
    <w:rsid w:val="00946DD0"/>
    <w:rsid w:val="00947CAA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40C5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3A67"/>
    <w:rsid w:val="009B4CB2"/>
    <w:rsid w:val="009B5922"/>
    <w:rsid w:val="009B6701"/>
    <w:rsid w:val="009B6D10"/>
    <w:rsid w:val="009B6EF7"/>
    <w:rsid w:val="009B7000"/>
    <w:rsid w:val="009B739C"/>
    <w:rsid w:val="009C04EC"/>
    <w:rsid w:val="009C328C"/>
    <w:rsid w:val="009C4444"/>
    <w:rsid w:val="009C61DE"/>
    <w:rsid w:val="009C70FF"/>
    <w:rsid w:val="009C79AD"/>
    <w:rsid w:val="009C7CA6"/>
    <w:rsid w:val="009D3316"/>
    <w:rsid w:val="009D4670"/>
    <w:rsid w:val="009D55AA"/>
    <w:rsid w:val="009E3E77"/>
    <w:rsid w:val="009E3FAB"/>
    <w:rsid w:val="009E5B3F"/>
    <w:rsid w:val="009E7D90"/>
    <w:rsid w:val="009F1AB0"/>
    <w:rsid w:val="009F2045"/>
    <w:rsid w:val="009F25FF"/>
    <w:rsid w:val="009F501D"/>
    <w:rsid w:val="00A02CFB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1D1"/>
    <w:rsid w:val="00A30E4F"/>
    <w:rsid w:val="00A32253"/>
    <w:rsid w:val="00A3310E"/>
    <w:rsid w:val="00A333A0"/>
    <w:rsid w:val="00A37E70"/>
    <w:rsid w:val="00A37EFA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08E"/>
    <w:rsid w:val="00A864E3"/>
    <w:rsid w:val="00A92A6A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034"/>
    <w:rsid w:val="00AB67FC"/>
    <w:rsid w:val="00AC00F2"/>
    <w:rsid w:val="00AC13B0"/>
    <w:rsid w:val="00AC31B5"/>
    <w:rsid w:val="00AC4EA1"/>
    <w:rsid w:val="00AC5381"/>
    <w:rsid w:val="00AC5920"/>
    <w:rsid w:val="00AC7155"/>
    <w:rsid w:val="00AD0E65"/>
    <w:rsid w:val="00AD2BF2"/>
    <w:rsid w:val="00AD3078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2E94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426B"/>
    <w:rsid w:val="00B55544"/>
    <w:rsid w:val="00B642FC"/>
    <w:rsid w:val="00B64D26"/>
    <w:rsid w:val="00B64FBB"/>
    <w:rsid w:val="00B65794"/>
    <w:rsid w:val="00B70E22"/>
    <w:rsid w:val="00B744D4"/>
    <w:rsid w:val="00B774CB"/>
    <w:rsid w:val="00B80402"/>
    <w:rsid w:val="00B80B9A"/>
    <w:rsid w:val="00B830B7"/>
    <w:rsid w:val="00B848EA"/>
    <w:rsid w:val="00B84A14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5A9A"/>
    <w:rsid w:val="00BB6AFA"/>
    <w:rsid w:val="00BB6C0E"/>
    <w:rsid w:val="00BB7B38"/>
    <w:rsid w:val="00BC11E5"/>
    <w:rsid w:val="00BC218E"/>
    <w:rsid w:val="00BC4BC6"/>
    <w:rsid w:val="00BC52FD"/>
    <w:rsid w:val="00BC6E62"/>
    <w:rsid w:val="00BC7443"/>
    <w:rsid w:val="00BD0648"/>
    <w:rsid w:val="00BD1040"/>
    <w:rsid w:val="00BD34AA"/>
    <w:rsid w:val="00BD407E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0431"/>
    <w:rsid w:val="00C11943"/>
    <w:rsid w:val="00C12E96"/>
    <w:rsid w:val="00C14763"/>
    <w:rsid w:val="00C16141"/>
    <w:rsid w:val="00C2363F"/>
    <w:rsid w:val="00C236C8"/>
    <w:rsid w:val="00C260B1"/>
    <w:rsid w:val="00C26E56"/>
    <w:rsid w:val="00C30FBF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3FD4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01F3"/>
    <w:rsid w:val="00CB18D0"/>
    <w:rsid w:val="00CB1C8A"/>
    <w:rsid w:val="00CB24F5"/>
    <w:rsid w:val="00CB2663"/>
    <w:rsid w:val="00CB2A59"/>
    <w:rsid w:val="00CB3BBE"/>
    <w:rsid w:val="00CB59E9"/>
    <w:rsid w:val="00CC0D6A"/>
    <w:rsid w:val="00CC3831"/>
    <w:rsid w:val="00CC3E3D"/>
    <w:rsid w:val="00CC519B"/>
    <w:rsid w:val="00CC6572"/>
    <w:rsid w:val="00CD12C1"/>
    <w:rsid w:val="00CD214E"/>
    <w:rsid w:val="00CD46FA"/>
    <w:rsid w:val="00CD5973"/>
    <w:rsid w:val="00CE0104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888"/>
    <w:rsid w:val="00D169C8"/>
    <w:rsid w:val="00D1793F"/>
    <w:rsid w:val="00D22AF5"/>
    <w:rsid w:val="00D235EA"/>
    <w:rsid w:val="00D237E8"/>
    <w:rsid w:val="00D247A9"/>
    <w:rsid w:val="00D32721"/>
    <w:rsid w:val="00D328DC"/>
    <w:rsid w:val="00D33387"/>
    <w:rsid w:val="00D402FB"/>
    <w:rsid w:val="00D40741"/>
    <w:rsid w:val="00D429EA"/>
    <w:rsid w:val="00D47D7A"/>
    <w:rsid w:val="00D50ABD"/>
    <w:rsid w:val="00D55290"/>
    <w:rsid w:val="00D57791"/>
    <w:rsid w:val="00D6046A"/>
    <w:rsid w:val="00D62194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3416"/>
    <w:rsid w:val="00D841D1"/>
    <w:rsid w:val="00D84659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CE0"/>
    <w:rsid w:val="00DA3FDD"/>
    <w:rsid w:val="00DA7017"/>
    <w:rsid w:val="00DA7028"/>
    <w:rsid w:val="00DB0820"/>
    <w:rsid w:val="00DB1AD2"/>
    <w:rsid w:val="00DB2B58"/>
    <w:rsid w:val="00DB5206"/>
    <w:rsid w:val="00DB6276"/>
    <w:rsid w:val="00DB63F5"/>
    <w:rsid w:val="00DC116E"/>
    <w:rsid w:val="00DC1C6B"/>
    <w:rsid w:val="00DC2C2E"/>
    <w:rsid w:val="00DC3416"/>
    <w:rsid w:val="00DC389D"/>
    <w:rsid w:val="00DC4AF0"/>
    <w:rsid w:val="00DC7886"/>
    <w:rsid w:val="00DD0CF2"/>
    <w:rsid w:val="00DE1554"/>
    <w:rsid w:val="00DE2901"/>
    <w:rsid w:val="00DE590F"/>
    <w:rsid w:val="00DE7DC1"/>
    <w:rsid w:val="00DF3F7E"/>
    <w:rsid w:val="00DF66AF"/>
    <w:rsid w:val="00DF7648"/>
    <w:rsid w:val="00E00E29"/>
    <w:rsid w:val="00E02BAB"/>
    <w:rsid w:val="00E04CEB"/>
    <w:rsid w:val="00E060BC"/>
    <w:rsid w:val="00E11420"/>
    <w:rsid w:val="00E1225A"/>
    <w:rsid w:val="00E132FB"/>
    <w:rsid w:val="00E154FC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6B57"/>
    <w:rsid w:val="00E87441"/>
    <w:rsid w:val="00E91FAE"/>
    <w:rsid w:val="00E96E3F"/>
    <w:rsid w:val="00EA270C"/>
    <w:rsid w:val="00EA4974"/>
    <w:rsid w:val="00EA532E"/>
    <w:rsid w:val="00EB06D9"/>
    <w:rsid w:val="00EB1316"/>
    <w:rsid w:val="00EB192B"/>
    <w:rsid w:val="00EB19ED"/>
    <w:rsid w:val="00EB1CAB"/>
    <w:rsid w:val="00EC0F5A"/>
    <w:rsid w:val="00EC1587"/>
    <w:rsid w:val="00EC4265"/>
    <w:rsid w:val="00EC466C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3281"/>
    <w:rsid w:val="00F0482C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33AD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0109"/>
    <w:rsid w:val="00FB121C"/>
    <w:rsid w:val="00FB1CDD"/>
    <w:rsid w:val="00FB1FBF"/>
    <w:rsid w:val="00FB2C2F"/>
    <w:rsid w:val="00FB305C"/>
    <w:rsid w:val="00FC2B2F"/>
    <w:rsid w:val="00FC2E3D"/>
    <w:rsid w:val="00FC3BDE"/>
    <w:rsid w:val="00FD1DBE"/>
    <w:rsid w:val="00FD1EB2"/>
    <w:rsid w:val="00FD25A7"/>
    <w:rsid w:val="00FD27B6"/>
    <w:rsid w:val="00FD3689"/>
    <w:rsid w:val="00FD42A3"/>
    <w:rsid w:val="00FD7468"/>
    <w:rsid w:val="00FD7CE0"/>
    <w:rsid w:val="00FE0B3B"/>
    <w:rsid w:val="00FE1BE2"/>
    <w:rsid w:val="00FE28A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6D1A2"/>
  <w15:docId w15:val="{C0FC913D-70F9-4C22-BBF7-1D982D37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0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822028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Akapitzlist">
    <w:name w:val="List Paragraph"/>
    <w:basedOn w:val="Normalny"/>
    <w:qFormat/>
    <w:rsid w:val="00A37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sk\AppData\Local\Temp\b3833a3e-5568-4128-aee1-34f6020391ee_Dla%20MS%20Word%20od%20wersji%202007%20-%20Szablon%20aktu%20prawnego%204.0(1).zip.1ee\Dla%20MS%20Word%20od%20wersji%202007%20-%20Szablon%20aktu%20prawnego%204.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Dla MS Word od wersji 2007 - Szablon aktu prawnego 4.0</Template>
  <TotalTime>1</TotalTime>
  <Pages>19</Pages>
  <Words>4551</Words>
  <Characters>27306</Characters>
  <Application>Microsoft Office Word</Application>
  <DocSecurity>0</DocSecurity>
  <Lines>227</Lines>
  <Paragraphs>63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Kosińska Monika</dc:creator>
  <cp:keywords/>
  <dc:description/>
  <cp:lastModifiedBy>Kozińska-Żywar Anna</cp:lastModifiedBy>
  <cp:revision>3</cp:revision>
  <cp:lastPrinted>2012-04-23T06:39:00Z</cp:lastPrinted>
  <dcterms:created xsi:type="dcterms:W3CDTF">2026-03-10T15:51:00Z</dcterms:created>
  <dcterms:modified xsi:type="dcterms:W3CDTF">2026-03-11T12:09:00Z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